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D5BD" w14:textId="0B5F361D" w:rsidR="0009502C" w:rsidRPr="00480672" w:rsidRDefault="00CF6165" w:rsidP="0009502C">
      <w:pPr>
        <w:jc w:val="center"/>
        <w:rPr>
          <w:rFonts w:ascii="Garamond" w:hAnsi="Garamond"/>
          <w:b/>
          <w:szCs w:val="24"/>
        </w:rPr>
      </w:pPr>
      <w:r w:rsidRPr="00BC332B">
        <w:rPr>
          <w:rFonts w:ascii="Garamond" w:hAnsi="Garamond"/>
          <w:b/>
          <w:szCs w:val="24"/>
        </w:rPr>
        <w:t>RFP</w:t>
      </w:r>
      <w:r w:rsidR="001A6FC2" w:rsidRPr="00BC332B">
        <w:rPr>
          <w:rFonts w:ascii="Garamond" w:hAnsi="Garamond"/>
          <w:b/>
          <w:szCs w:val="24"/>
        </w:rPr>
        <w:t xml:space="preserve"> 21-</w:t>
      </w:r>
      <w:r w:rsidR="00BC332B" w:rsidRPr="00BC332B">
        <w:rPr>
          <w:rFonts w:ascii="Garamond" w:hAnsi="Garamond"/>
          <w:b/>
          <w:szCs w:val="24"/>
        </w:rPr>
        <w:t xml:space="preserve">2633 </w:t>
      </w:r>
      <w:r w:rsidR="0009502C" w:rsidRPr="00480672">
        <w:rPr>
          <w:rFonts w:ascii="Garamond" w:hAnsi="Garamond"/>
          <w:b/>
          <w:szCs w:val="24"/>
        </w:rPr>
        <w:t>BUSINESS PROPOSAL</w:t>
      </w:r>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0497AA39" w:rsidR="0009502C"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p w14:paraId="69F91B21"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7212EFCE" w14:textId="664E40B0" w:rsidR="00F722BA" w:rsidRDefault="00F722BA" w:rsidP="00F722BA">
            <w:pPr>
              <w:rPr>
                <w:rFonts w:ascii="Arial" w:hAnsi="Arial" w:cs="Arial"/>
                <w:sz w:val="20"/>
              </w:rPr>
            </w:pPr>
            <w:r>
              <w:rPr>
                <w:rFonts w:ascii="Arial" w:hAnsi="Arial" w:cs="Arial"/>
                <w:sz w:val="20"/>
              </w:rPr>
              <w:t>Thank you for giving Thermo Fisher</w:t>
            </w:r>
            <w:r w:rsidRPr="00A956C2">
              <w:rPr>
                <w:rFonts w:ascii="Arial" w:hAnsi="Arial" w:cs="Arial"/>
                <w:sz w:val="20"/>
              </w:rPr>
              <w:t xml:space="preserve"> Scientific</w:t>
            </w:r>
            <w:r>
              <w:rPr>
                <w:rFonts w:ascii="Arial" w:hAnsi="Arial" w:cs="Arial"/>
                <w:sz w:val="20"/>
              </w:rPr>
              <w:t xml:space="preserve"> the opportunity to supply the products and services </w:t>
            </w:r>
            <w:r w:rsidRPr="00F722BA">
              <w:rPr>
                <w:rFonts w:ascii="Arial" w:hAnsi="Arial" w:cs="Arial"/>
                <w:color w:val="000000" w:themeColor="text1"/>
                <w:sz w:val="20"/>
              </w:rPr>
              <w:t>the State of Indiana</w:t>
            </w:r>
            <w:r>
              <w:rPr>
                <w:rFonts w:ascii="Arial" w:hAnsi="Arial" w:cs="Arial"/>
                <w:sz w:val="20"/>
              </w:rPr>
              <w:t xml:space="preserve"> needs to make your procurement process easier, more cost effective, and more efficient.  Through our global Fisher Scientific distribution network, we leverage our supplier relationships to offer you the </w:t>
            </w:r>
            <w:r w:rsidRPr="00DA50C6">
              <w:rPr>
                <w:rFonts w:ascii="Arial" w:hAnsi="Arial" w:cs="Arial"/>
                <w:b/>
                <w:sz w:val="20"/>
              </w:rPr>
              <w:t>best choice of products and services</w:t>
            </w:r>
            <w:r>
              <w:rPr>
                <w:rFonts w:ascii="Arial" w:hAnsi="Arial" w:cs="Arial"/>
                <w:sz w:val="20"/>
              </w:rPr>
              <w:t xml:space="preserve"> at competitive prices.  </w:t>
            </w:r>
          </w:p>
          <w:p w14:paraId="5B86A17A" w14:textId="77777777" w:rsidR="00F722BA" w:rsidRDefault="00F722BA" w:rsidP="00F722BA">
            <w:pPr>
              <w:rPr>
                <w:rFonts w:ascii="Arial" w:hAnsi="Arial" w:cs="Arial"/>
                <w:sz w:val="20"/>
              </w:rPr>
            </w:pPr>
          </w:p>
          <w:p w14:paraId="56EDB809" w14:textId="3DA0B8B5" w:rsidR="00F722BA" w:rsidRDefault="00F722BA" w:rsidP="00F722BA">
            <w:pPr>
              <w:rPr>
                <w:rFonts w:ascii="Arial" w:hAnsi="Arial" w:cs="Arial"/>
                <w:sz w:val="20"/>
              </w:rPr>
            </w:pPr>
            <w:r w:rsidRPr="00E27AFB">
              <w:rPr>
                <w:rFonts w:ascii="Arial" w:hAnsi="Arial" w:cs="Arial"/>
                <w:sz w:val="20"/>
              </w:rPr>
              <w:t xml:space="preserve">As </w:t>
            </w:r>
            <w:r w:rsidRPr="00231D2A">
              <w:rPr>
                <w:rFonts w:ascii="Arial" w:hAnsi="Arial" w:cs="Arial"/>
                <w:sz w:val="20"/>
              </w:rPr>
              <w:t xml:space="preserve">the channel-to-market for Thermo Fisher Scientific, Fisher Scientific is </w:t>
            </w:r>
            <w:r w:rsidRPr="00231D2A">
              <w:rPr>
                <w:rFonts w:ascii="Arial" w:hAnsi="Arial"/>
                <w:sz w:val="20"/>
              </w:rPr>
              <w:t xml:space="preserve">a clear channel of choice of more than </w:t>
            </w:r>
            <w:r w:rsidRPr="00981EF0">
              <w:rPr>
                <w:rFonts w:ascii="Arial" w:hAnsi="Arial"/>
                <w:b/>
                <w:sz w:val="20"/>
              </w:rPr>
              <w:t>2,500,000 products and services from over 9,000 suppliers</w:t>
            </w:r>
            <w:r w:rsidRPr="00231D2A">
              <w:rPr>
                <w:rFonts w:ascii="Arial" w:hAnsi="Arial"/>
                <w:sz w:val="20"/>
              </w:rPr>
              <w:t>.  Our</w:t>
            </w:r>
            <w:r w:rsidRPr="00C4105C">
              <w:rPr>
                <w:rFonts w:ascii="Arial" w:hAnsi="Arial"/>
                <w:sz w:val="20"/>
              </w:rPr>
              <w:t xml:space="preserve"> experience in </w:t>
            </w:r>
            <w:proofErr w:type="gramStart"/>
            <w:r w:rsidRPr="00C4105C">
              <w:rPr>
                <w:rFonts w:ascii="Arial" w:hAnsi="Arial"/>
                <w:sz w:val="20"/>
              </w:rPr>
              <w:t>a number of</w:t>
            </w:r>
            <w:proofErr w:type="gramEnd"/>
            <w:r w:rsidRPr="00C4105C">
              <w:rPr>
                <w:rFonts w:ascii="Arial" w:hAnsi="Arial"/>
                <w:sz w:val="20"/>
              </w:rPr>
              <w:t xml:space="preserve"> markets</w:t>
            </w:r>
            <w:r>
              <w:rPr>
                <w:rFonts w:ascii="Arial" w:hAnsi="Arial"/>
                <w:sz w:val="20"/>
              </w:rPr>
              <w:t>—</w:t>
            </w:r>
            <w:r w:rsidRPr="00C4105C">
              <w:rPr>
                <w:rFonts w:ascii="Arial" w:hAnsi="Arial"/>
                <w:sz w:val="20"/>
              </w:rPr>
              <w:t xml:space="preserve">e.g., pharmaceutical, biotech, </w:t>
            </w:r>
            <w:r>
              <w:rPr>
                <w:rFonts w:ascii="Arial" w:hAnsi="Arial"/>
                <w:sz w:val="20"/>
              </w:rPr>
              <w:t xml:space="preserve">academic, </w:t>
            </w:r>
            <w:r w:rsidRPr="00C4105C">
              <w:rPr>
                <w:rFonts w:ascii="Arial" w:hAnsi="Arial"/>
                <w:sz w:val="20"/>
              </w:rPr>
              <w:t>government, industrial, food and agriculture, safety</w:t>
            </w:r>
            <w:r>
              <w:rPr>
                <w:rFonts w:ascii="Arial" w:hAnsi="Arial"/>
                <w:sz w:val="20"/>
              </w:rPr>
              <w:t>—</w:t>
            </w:r>
            <w:r w:rsidRPr="00C4105C">
              <w:rPr>
                <w:rFonts w:ascii="Arial" w:hAnsi="Arial"/>
                <w:sz w:val="20"/>
              </w:rPr>
              <w:t>positions us to meet</w:t>
            </w:r>
            <w:r w:rsidRPr="00F722BA">
              <w:rPr>
                <w:rFonts w:ascii="Arial" w:hAnsi="Arial"/>
                <w:color w:val="000000" w:themeColor="text1"/>
                <w:sz w:val="20"/>
              </w:rPr>
              <w:t xml:space="preserve"> the State’s</w:t>
            </w:r>
            <w:r w:rsidRPr="00C4105C">
              <w:rPr>
                <w:rFonts w:ascii="Arial" w:hAnsi="Arial"/>
                <w:sz w:val="20"/>
              </w:rPr>
              <w:t xml:space="preserve"> product and service needs on all levels.</w:t>
            </w:r>
          </w:p>
          <w:p w14:paraId="78BA0EA1" w14:textId="77777777" w:rsidR="00F722BA" w:rsidRDefault="00F722BA" w:rsidP="00F722BA">
            <w:pPr>
              <w:rPr>
                <w:rFonts w:ascii="Arial" w:hAnsi="Arial" w:cs="Arial"/>
                <w:sz w:val="20"/>
              </w:rPr>
            </w:pPr>
          </w:p>
          <w:p w14:paraId="14D01CC5" w14:textId="77777777" w:rsidR="00F722BA" w:rsidRDefault="00F722BA" w:rsidP="00F722BA">
            <w:pPr>
              <w:rPr>
                <w:rFonts w:ascii="Arial" w:hAnsi="Arial" w:cs="Arial"/>
                <w:sz w:val="20"/>
              </w:rPr>
            </w:pPr>
            <w:r>
              <w:rPr>
                <w:rFonts w:ascii="Arial" w:hAnsi="Arial" w:cs="Arial"/>
                <w:sz w:val="20"/>
              </w:rPr>
              <w:t xml:space="preserve">Our company portfolio is represented by </w:t>
            </w:r>
            <w:r>
              <w:rPr>
                <w:rFonts w:ascii="Arial" w:hAnsi="Arial" w:cs="Arial"/>
                <w:b/>
                <w:sz w:val="20"/>
                <w:u w:val="single"/>
              </w:rPr>
              <w:t>six</w:t>
            </w:r>
            <w:r w:rsidRPr="001A7710">
              <w:rPr>
                <w:rFonts w:ascii="Arial" w:hAnsi="Arial" w:cs="Arial"/>
                <w:b/>
                <w:sz w:val="20"/>
                <w:u w:val="single"/>
              </w:rPr>
              <w:t xml:space="preserve"> premier brands</w:t>
            </w:r>
            <w:r>
              <w:rPr>
                <w:rFonts w:ascii="Arial" w:hAnsi="Arial" w:cs="Arial"/>
                <w:sz w:val="20"/>
              </w:rPr>
              <w:t xml:space="preserve">: Thermo Scientific, Applied Biosystems, Invitrogen, </w:t>
            </w:r>
            <w:r w:rsidRPr="005812DC">
              <w:rPr>
                <w:rFonts w:ascii="Arial" w:hAnsi="Arial" w:cs="Arial"/>
                <w:sz w:val="20"/>
              </w:rPr>
              <w:t>Fisher Scientific</w:t>
            </w:r>
            <w:r>
              <w:rPr>
                <w:rFonts w:ascii="Arial" w:hAnsi="Arial" w:cs="Arial"/>
                <w:sz w:val="20"/>
              </w:rPr>
              <w:t xml:space="preserve">, Unity Lab Services, and Patheon. </w:t>
            </w:r>
          </w:p>
          <w:p w14:paraId="0EEC62CC" w14:textId="77777777" w:rsidR="00F722BA" w:rsidRDefault="00F722BA" w:rsidP="00F722BA">
            <w:pPr>
              <w:rPr>
                <w:rFonts w:ascii="Arial" w:hAnsi="Arial" w:cs="Arial"/>
                <w:b/>
                <w:bCs/>
                <w:sz w:val="20"/>
              </w:rPr>
            </w:pPr>
          </w:p>
          <w:p w14:paraId="1D96EC8D" w14:textId="77777777" w:rsidR="00F722BA" w:rsidRPr="00C74AF9" w:rsidRDefault="00F722BA" w:rsidP="00F722BA">
            <w:pPr>
              <w:pStyle w:val="ListParagraph"/>
              <w:widowControl/>
              <w:numPr>
                <w:ilvl w:val="0"/>
                <w:numId w:val="22"/>
              </w:numPr>
              <w:contextualSpacing w:val="0"/>
              <w:rPr>
                <w:rFonts w:ascii="Arial" w:hAnsi="Arial" w:cs="Arial"/>
                <w:bCs/>
                <w:sz w:val="20"/>
              </w:rPr>
            </w:pPr>
            <w:r w:rsidRPr="000462FA">
              <w:rPr>
                <w:rFonts w:ascii="Arial" w:hAnsi="Arial" w:cs="Arial"/>
                <w:bCs/>
                <w:sz w:val="20"/>
              </w:rPr>
              <w:t xml:space="preserve">The </w:t>
            </w:r>
            <w:r w:rsidRPr="000462FA">
              <w:rPr>
                <w:rFonts w:ascii="Arial" w:hAnsi="Arial" w:cs="Arial"/>
                <w:b/>
                <w:bCs/>
                <w:sz w:val="20"/>
              </w:rPr>
              <w:t>Thermo Scientific</w:t>
            </w:r>
            <w:r w:rsidRPr="000462FA">
              <w:rPr>
                <w:rFonts w:ascii="Arial" w:hAnsi="Arial" w:cs="Arial"/>
                <w:bCs/>
                <w:sz w:val="20"/>
              </w:rPr>
              <w:t xml:space="preserve"> brand offers customers in </w:t>
            </w:r>
            <w:r w:rsidRPr="00C74AF9">
              <w:rPr>
                <w:rFonts w:ascii="Arial" w:hAnsi="Arial" w:cs="Arial"/>
                <w:bCs/>
                <w:sz w:val="20"/>
              </w:rPr>
              <w:t>research, diagnostics, industrial, and applied markets a complete range of high-end analytical instruments as well as laboratory equipment, software, services, consumables and reagents. Our portfolio of products includes innovative technologies for mass spectrometry, chromatography, elemental analysis, electron microscopy, molecular spectroscopy, sample preparation, informatics, chemical research and analysis, cell culture, bioprocess production, cellular, protein and molecular biology research, allergy testing, drugs-of-abuse testing, therapeutic drug monitoring testing, microbiology, as well as environmental monitoring and process control.</w:t>
            </w:r>
          </w:p>
          <w:p w14:paraId="41FD98CA" w14:textId="77777777" w:rsidR="00F722BA" w:rsidRPr="00C74AF9" w:rsidRDefault="00F722BA" w:rsidP="00F722BA">
            <w:pPr>
              <w:rPr>
                <w:rFonts w:ascii="Arial" w:hAnsi="Arial" w:cs="Arial"/>
                <w:bCs/>
                <w:sz w:val="20"/>
              </w:rPr>
            </w:pPr>
          </w:p>
          <w:p w14:paraId="38DB66BC" w14:textId="77777777" w:rsidR="00F722BA" w:rsidRPr="00C74AF9" w:rsidRDefault="00F722BA" w:rsidP="00F722BA">
            <w:pPr>
              <w:pStyle w:val="ListParagraph"/>
              <w:widowControl/>
              <w:numPr>
                <w:ilvl w:val="0"/>
                <w:numId w:val="22"/>
              </w:numPr>
              <w:contextualSpacing w:val="0"/>
              <w:rPr>
                <w:rFonts w:ascii="Arial" w:hAnsi="Arial" w:cs="Arial"/>
                <w:bCs/>
                <w:sz w:val="20"/>
              </w:rPr>
            </w:pPr>
            <w:r w:rsidRPr="00CA096C">
              <w:rPr>
                <w:rFonts w:ascii="Arial" w:hAnsi="Arial" w:cs="Arial"/>
                <w:bCs/>
                <w:sz w:val="20"/>
              </w:rPr>
              <w:t xml:space="preserve">The </w:t>
            </w:r>
            <w:r w:rsidRPr="00CA096C">
              <w:rPr>
                <w:rFonts w:ascii="Arial" w:hAnsi="Arial" w:cs="Arial"/>
                <w:b/>
                <w:sz w:val="20"/>
              </w:rPr>
              <w:t>Applied Biosystems</w:t>
            </w:r>
            <w:r w:rsidRPr="00C74AF9">
              <w:rPr>
                <w:rFonts w:ascii="Arial" w:hAnsi="Arial" w:cs="Arial"/>
                <w:bCs/>
                <w:sz w:val="20"/>
              </w:rPr>
              <w:t xml:space="preserve"> brand offers customers in research, clinical and applied markets integrated instrument systems, reagents, and software for genetic </w:t>
            </w:r>
            <w:r>
              <w:rPr>
                <w:rFonts w:ascii="Arial" w:hAnsi="Arial" w:cs="Arial"/>
                <w:bCs/>
                <w:sz w:val="20"/>
              </w:rPr>
              <w:t>research</w:t>
            </w:r>
            <w:r w:rsidRPr="00C74AF9">
              <w:rPr>
                <w:rFonts w:ascii="Arial" w:hAnsi="Arial" w:cs="Arial"/>
                <w:bCs/>
                <w:sz w:val="20"/>
              </w:rPr>
              <w:t>. Our portfolio includes innovative technologies for genetic sequencing and real-time, digital and end point polymerase chain reaction (PCR), that are used to determine meaningful genetic information in applications such as cancer diagnostics, human identification testing, and animal health, as well as inherited and infectious disease.</w:t>
            </w:r>
          </w:p>
          <w:p w14:paraId="5400FC9C" w14:textId="77777777" w:rsidR="00F722BA" w:rsidRPr="00C74AF9" w:rsidRDefault="00F722BA" w:rsidP="00F722BA">
            <w:pPr>
              <w:rPr>
                <w:rFonts w:ascii="Arial" w:hAnsi="Arial" w:cs="Arial"/>
                <w:bCs/>
                <w:sz w:val="20"/>
              </w:rPr>
            </w:pPr>
          </w:p>
          <w:p w14:paraId="44E7BCFF" w14:textId="77777777" w:rsidR="00F722BA" w:rsidRPr="00CA096C" w:rsidRDefault="00F722BA" w:rsidP="00F722BA">
            <w:pPr>
              <w:pStyle w:val="ListParagraph"/>
              <w:widowControl/>
              <w:numPr>
                <w:ilvl w:val="0"/>
                <w:numId w:val="22"/>
              </w:numPr>
              <w:contextualSpacing w:val="0"/>
              <w:rPr>
                <w:rFonts w:ascii="Arial" w:hAnsi="Arial" w:cs="Arial"/>
                <w:bCs/>
                <w:sz w:val="20"/>
              </w:rPr>
            </w:pPr>
            <w:r w:rsidRPr="00CA096C">
              <w:rPr>
                <w:rFonts w:ascii="Arial" w:hAnsi="Arial" w:cs="Arial"/>
                <w:bCs/>
                <w:sz w:val="20"/>
              </w:rPr>
              <w:t xml:space="preserve">The </w:t>
            </w:r>
            <w:r w:rsidRPr="00CA096C">
              <w:rPr>
                <w:rFonts w:ascii="Arial" w:hAnsi="Arial" w:cs="Arial"/>
                <w:b/>
                <w:sz w:val="20"/>
              </w:rPr>
              <w:t>Invitrogen brand</w:t>
            </w:r>
            <w:r w:rsidRPr="00CA096C">
              <w:rPr>
                <w:rFonts w:ascii="Arial" w:hAnsi="Arial" w:cs="Arial"/>
                <w:bCs/>
                <w:sz w:val="20"/>
              </w:rPr>
              <w:t xml:space="preserve"> offers life science customers a broad range of consumables and instruments that accelerate research and ensure consistency of results.  Our portfolio of products includes innovative solutions for cellular analysis and biology, flow cytometry, cell culture, protein expression, synthetic biology, molecular biology and protein biology.</w:t>
            </w:r>
          </w:p>
          <w:p w14:paraId="094A51B1" w14:textId="77777777" w:rsidR="00F722BA" w:rsidRPr="00C74AF9" w:rsidRDefault="00F722BA" w:rsidP="00F722BA">
            <w:pPr>
              <w:rPr>
                <w:rFonts w:ascii="Arial" w:hAnsi="Arial" w:cs="Arial"/>
                <w:bCs/>
                <w:sz w:val="20"/>
              </w:rPr>
            </w:pPr>
          </w:p>
          <w:p w14:paraId="032C989E" w14:textId="549471A5" w:rsidR="00F722BA" w:rsidRPr="00C74AF9" w:rsidRDefault="00F722BA" w:rsidP="00F722BA">
            <w:pPr>
              <w:pStyle w:val="ListParagraph"/>
              <w:widowControl/>
              <w:numPr>
                <w:ilvl w:val="0"/>
                <w:numId w:val="22"/>
              </w:numPr>
              <w:contextualSpacing w:val="0"/>
              <w:rPr>
                <w:rFonts w:ascii="Arial" w:hAnsi="Arial" w:cs="Arial"/>
                <w:sz w:val="20"/>
              </w:rPr>
            </w:pPr>
            <w:r w:rsidRPr="00C74AF9">
              <w:rPr>
                <w:rFonts w:ascii="Arial" w:hAnsi="Arial" w:cs="Arial"/>
                <w:b/>
                <w:bCs/>
                <w:sz w:val="20"/>
              </w:rPr>
              <w:t>Fisher Scientific</w:t>
            </w:r>
            <w:r w:rsidRPr="00C74AF9">
              <w:rPr>
                <w:rFonts w:ascii="Arial" w:hAnsi="Arial" w:cs="Arial"/>
                <w:bCs/>
                <w:sz w:val="20"/>
              </w:rPr>
              <w:t xml:space="preserve"> </w:t>
            </w:r>
            <w:r w:rsidRPr="008A0745">
              <w:rPr>
                <w:rFonts w:ascii="Arial" w:hAnsi="Arial" w:cs="Arial"/>
                <w:bCs/>
                <w:sz w:val="20"/>
              </w:rPr>
              <w:t>is our channel</w:t>
            </w:r>
            <w:r w:rsidR="008A0745" w:rsidRPr="008A0745">
              <w:rPr>
                <w:rFonts w:ascii="Arial" w:hAnsi="Arial" w:cs="Arial"/>
                <w:bCs/>
                <w:sz w:val="20"/>
              </w:rPr>
              <w:t>’</w:t>
            </w:r>
            <w:r w:rsidRPr="008A0745">
              <w:rPr>
                <w:rFonts w:ascii="Arial" w:hAnsi="Arial" w:cs="Arial"/>
                <w:bCs/>
                <w:sz w:val="20"/>
              </w:rPr>
              <w:t>s brand</w:t>
            </w:r>
            <w:r w:rsidR="008A0745">
              <w:rPr>
                <w:rFonts w:ascii="Arial" w:hAnsi="Arial" w:cs="Arial"/>
                <w:bCs/>
                <w:sz w:val="20"/>
              </w:rPr>
              <w:t xml:space="preserve"> </w:t>
            </w:r>
            <w:r w:rsidR="008A0745" w:rsidRPr="001167B7">
              <w:rPr>
                <w:rFonts w:ascii="Arial" w:hAnsi="Arial" w:cs="Arial"/>
                <w:bCs/>
                <w:sz w:val="20"/>
              </w:rPr>
              <w:t>and distribution network</w:t>
            </w:r>
            <w:r w:rsidRPr="00C74AF9">
              <w:rPr>
                <w:rFonts w:ascii="Arial" w:hAnsi="Arial" w:cs="Arial"/>
                <w:bCs/>
                <w:sz w:val="20"/>
              </w:rPr>
              <w:t xml:space="preserve">, offering customers a complete portfolio of laboratory equipment and consumables, chemicals, supplies and services used in scientific research, healthcare, safety, and education markets. These products are offered through an extensive network of direct sales professionals, segment-relevant printed collateral and digital content, a state-of-the-art website, and supply-chain management services.  </w:t>
            </w:r>
            <w:r w:rsidRPr="00C74AF9">
              <w:rPr>
                <w:rFonts w:ascii="Arial" w:hAnsi="Arial" w:cs="Arial"/>
                <w:sz w:val="20"/>
              </w:rPr>
              <w:t xml:space="preserve">Our extensive list of </w:t>
            </w:r>
            <w:r w:rsidRPr="00C74AF9">
              <w:rPr>
                <w:rFonts w:ascii="Arial" w:hAnsi="Arial" w:cs="Arial"/>
                <w:b/>
                <w:sz w:val="20"/>
              </w:rPr>
              <w:t>exclusive alliances</w:t>
            </w:r>
            <w:r w:rsidRPr="00C74AF9">
              <w:rPr>
                <w:rFonts w:ascii="Arial" w:hAnsi="Arial" w:cs="Arial"/>
                <w:sz w:val="20"/>
              </w:rPr>
              <w:t xml:space="preserve"> with major manufacturers </w:t>
            </w:r>
            <w:r w:rsidRPr="00C74AF9">
              <w:rPr>
                <w:rFonts w:ascii="Arial" w:hAnsi="Arial" w:cs="Arial"/>
                <w:sz w:val="20"/>
              </w:rPr>
              <w:lastRenderedPageBreak/>
              <w:t>allows us to give our customers easy access to the products that are most in demand—all from one supplier.</w:t>
            </w:r>
          </w:p>
          <w:p w14:paraId="60E7AA68" w14:textId="77777777" w:rsidR="00F722BA" w:rsidRDefault="00F722BA" w:rsidP="00F722BA">
            <w:pPr>
              <w:rPr>
                <w:rFonts w:ascii="Arial" w:hAnsi="Arial" w:cs="Arial"/>
                <w:sz w:val="20"/>
              </w:rPr>
            </w:pPr>
          </w:p>
          <w:p w14:paraId="32813CCA" w14:textId="77777777" w:rsidR="00F722BA" w:rsidRDefault="00F722BA" w:rsidP="00F722BA">
            <w:pPr>
              <w:ind w:left="360"/>
              <w:rPr>
                <w:rFonts w:ascii="Arial" w:hAnsi="Arial" w:cs="Arial"/>
                <w:sz w:val="20"/>
              </w:rPr>
            </w:pPr>
            <w:r w:rsidRPr="004F77EE">
              <w:rPr>
                <w:rFonts w:ascii="Arial" w:hAnsi="Arial" w:cs="Arial"/>
                <w:sz w:val="20"/>
              </w:rPr>
              <w:t>Our scientific and research products primarily serve colleges and universities,</w:t>
            </w:r>
            <w:r>
              <w:rPr>
                <w:rFonts w:ascii="Arial" w:hAnsi="Arial" w:cs="Arial"/>
                <w:sz w:val="20"/>
              </w:rPr>
              <w:t xml:space="preserve"> </w:t>
            </w:r>
            <w:r w:rsidRPr="004F77EE">
              <w:rPr>
                <w:rFonts w:ascii="Arial" w:hAnsi="Arial" w:cs="Arial"/>
                <w:sz w:val="20"/>
              </w:rPr>
              <w:t>medical research institutions,</w:t>
            </w:r>
            <w:r>
              <w:rPr>
                <w:rFonts w:ascii="Arial" w:hAnsi="Arial" w:cs="Arial"/>
                <w:sz w:val="20"/>
              </w:rPr>
              <w:t xml:space="preserve"> </w:t>
            </w:r>
            <w:r w:rsidRPr="004F77EE">
              <w:rPr>
                <w:rFonts w:ascii="Arial" w:hAnsi="Arial" w:cs="Arial"/>
                <w:sz w:val="20"/>
              </w:rPr>
              <w:t>pharmaceutical and biotechnology companies, hospital research labs, government agencies, original equipment manufacturers, quality control, and R&amp;D laboratories.</w:t>
            </w:r>
          </w:p>
          <w:p w14:paraId="2305D62B" w14:textId="77777777" w:rsidR="00F722BA" w:rsidRPr="000462FA" w:rsidRDefault="00F722BA" w:rsidP="00F722BA">
            <w:pPr>
              <w:rPr>
                <w:rFonts w:ascii="Arial" w:hAnsi="Arial" w:cs="Arial"/>
                <w:bCs/>
                <w:sz w:val="20"/>
              </w:rPr>
            </w:pPr>
          </w:p>
          <w:p w14:paraId="31F5FFB8" w14:textId="77777777" w:rsidR="00F722BA" w:rsidRPr="000462FA" w:rsidRDefault="00F722BA" w:rsidP="00F722BA">
            <w:pPr>
              <w:pStyle w:val="ListParagraph"/>
              <w:widowControl/>
              <w:numPr>
                <w:ilvl w:val="0"/>
                <w:numId w:val="22"/>
              </w:numPr>
              <w:contextualSpacing w:val="0"/>
              <w:rPr>
                <w:rFonts w:ascii="Arial" w:hAnsi="Arial" w:cs="Arial"/>
                <w:bCs/>
                <w:sz w:val="20"/>
              </w:rPr>
            </w:pPr>
            <w:r w:rsidRPr="000462FA">
              <w:rPr>
                <w:rFonts w:ascii="Arial" w:hAnsi="Arial" w:cs="Arial"/>
                <w:b/>
                <w:bCs/>
                <w:sz w:val="20"/>
              </w:rPr>
              <w:t>Unity Lab Services</w:t>
            </w:r>
            <w:r w:rsidRPr="000462FA">
              <w:rPr>
                <w:rFonts w:ascii="Arial" w:hAnsi="Arial" w:cs="Arial"/>
                <w:bCs/>
                <w:sz w:val="20"/>
              </w:rPr>
              <w:t xml:space="preserve"> is our instrument and equipment services brand, offering a complete portfolio of services from enterprise level engagements to individual instruments and laboratory equipment, regardless of the original manufacturer. </w:t>
            </w:r>
            <w:r>
              <w:rPr>
                <w:rFonts w:ascii="Arial" w:hAnsi="Arial" w:cs="Arial"/>
                <w:bCs/>
                <w:sz w:val="20"/>
              </w:rPr>
              <w:t xml:space="preserve"> </w:t>
            </w:r>
            <w:r w:rsidRPr="000462FA">
              <w:rPr>
                <w:rFonts w:ascii="Arial" w:hAnsi="Arial" w:cs="Arial"/>
                <w:bCs/>
                <w:sz w:val="20"/>
              </w:rPr>
              <w:t>Through our network of world-class service and support personnel, we provide services that are designed to help our customers improve productivity, reduce costs, and drive decisions with better data.</w:t>
            </w:r>
          </w:p>
          <w:p w14:paraId="4560165A" w14:textId="77777777" w:rsidR="00F722BA" w:rsidRPr="000462FA" w:rsidRDefault="00F722BA" w:rsidP="00F722BA">
            <w:pPr>
              <w:rPr>
                <w:rFonts w:ascii="Arial" w:hAnsi="Arial" w:cs="Arial"/>
                <w:bCs/>
                <w:sz w:val="20"/>
              </w:rPr>
            </w:pPr>
          </w:p>
          <w:p w14:paraId="124652BD" w14:textId="77777777" w:rsidR="00F722BA" w:rsidRDefault="00F722BA" w:rsidP="00F722BA">
            <w:pPr>
              <w:pStyle w:val="ListParagraph"/>
              <w:widowControl/>
              <w:numPr>
                <w:ilvl w:val="0"/>
                <w:numId w:val="22"/>
              </w:numPr>
              <w:contextualSpacing w:val="0"/>
              <w:rPr>
                <w:rFonts w:ascii="Arial" w:hAnsi="Arial" w:cs="Arial"/>
                <w:bCs/>
                <w:sz w:val="20"/>
              </w:rPr>
            </w:pPr>
            <w:r w:rsidRPr="000462FA">
              <w:rPr>
                <w:rFonts w:ascii="Arial" w:hAnsi="Arial" w:cs="Arial"/>
                <w:b/>
                <w:bCs/>
                <w:sz w:val="20"/>
              </w:rPr>
              <w:t>Patheon</w:t>
            </w:r>
            <w:r w:rsidRPr="000462FA">
              <w:rPr>
                <w:rFonts w:ascii="Arial" w:hAnsi="Arial" w:cs="Arial"/>
                <w:bCs/>
                <w:sz w:val="20"/>
              </w:rPr>
              <w:t xml:space="preserve"> is our contract development and manufacturing brand, representing the comprehensive offering of services that we provide to customers ranging from small biotech to large pharmaceutical companies. We support our customers’ development of innovative medicines, including biologics, gene therapies and vaccines. By leveraging our expanding global network of facilities, we deliver high-quality services at all stages of the drug lifecycle, from discovery to development through clinical trials and commercial manufacturing.</w:t>
            </w:r>
          </w:p>
          <w:p w14:paraId="46B2733D" w14:textId="77777777" w:rsidR="0009502C" w:rsidRPr="00480672" w:rsidRDefault="0009502C" w:rsidP="0009502C">
            <w:pPr>
              <w:rPr>
                <w:rFonts w:ascii="Garamond" w:hAnsi="Garamond"/>
                <w:szCs w:val="24"/>
              </w:rPr>
            </w:pPr>
          </w:p>
        </w:tc>
      </w:tr>
    </w:tbl>
    <w:p w14:paraId="44AD1811" w14:textId="77777777" w:rsidR="0009502C" w:rsidRPr="00480672" w:rsidRDefault="0009502C" w:rsidP="0009502C">
      <w:pPr>
        <w:rPr>
          <w:rFonts w:ascii="Garamond" w:hAnsi="Garamond"/>
          <w:szCs w:val="24"/>
        </w:rPr>
      </w:pPr>
    </w:p>
    <w:p w14:paraId="3F8124E9" w14:textId="11845321" w:rsidR="0009502C"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C75E126"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5871C53A" w14:textId="757FA30C" w:rsidR="0009502C" w:rsidRPr="00F722BA" w:rsidRDefault="00F722BA" w:rsidP="00F722BA">
            <w:pPr>
              <w:rPr>
                <w:rFonts w:ascii="Arial" w:hAnsi="Arial" w:cs="Arial"/>
                <w:szCs w:val="24"/>
              </w:rPr>
            </w:pPr>
            <w:r w:rsidRPr="00F722BA">
              <w:rPr>
                <w:rFonts w:ascii="Arial" w:hAnsi="Arial" w:cs="Arial"/>
                <w:sz w:val="20"/>
                <w:szCs w:val="24"/>
              </w:rPr>
              <w:t xml:space="preserve">Fisher Scientific Company LLC is an </w:t>
            </w:r>
            <w:r>
              <w:rPr>
                <w:rFonts w:ascii="Arial" w:hAnsi="Arial" w:cs="Arial"/>
                <w:sz w:val="20"/>
                <w:szCs w:val="24"/>
              </w:rPr>
              <w:t>indirect, wholly owned subsidiary of Thermo Fisher Scientific, Inc.  Fisher Scientific Company</w:t>
            </w:r>
            <w:r w:rsidR="00D402CC">
              <w:rPr>
                <w:rFonts w:ascii="Arial" w:hAnsi="Arial" w:cs="Arial"/>
                <w:sz w:val="20"/>
                <w:szCs w:val="24"/>
              </w:rPr>
              <w:t xml:space="preserve"> LLC</w:t>
            </w:r>
            <w:r>
              <w:rPr>
                <w:rFonts w:ascii="Arial" w:hAnsi="Arial" w:cs="Arial"/>
                <w:sz w:val="20"/>
                <w:szCs w:val="24"/>
              </w:rPr>
              <w:t xml:space="preserve"> is incorporated in Delaware</w:t>
            </w:r>
            <w:r w:rsidR="009E2418">
              <w:rPr>
                <w:rFonts w:ascii="Arial" w:hAnsi="Arial" w:cs="Arial"/>
                <w:sz w:val="20"/>
                <w:szCs w:val="24"/>
              </w:rPr>
              <w:t xml:space="preserve"> (certificate attached)</w:t>
            </w:r>
            <w:r>
              <w:rPr>
                <w:rFonts w:ascii="Arial" w:hAnsi="Arial" w:cs="Arial"/>
                <w:sz w:val="20"/>
                <w:szCs w:val="24"/>
              </w:rPr>
              <w:t xml:space="preserve">. Its predecessor company was founded in 1902 in Pittsburgh, PA.  As described in our response to question 2.3.1, above, Fisher Scientific is one of six premier brands of Thermo Fisher Scientific Inc., which is headquartered in Waltham, MA.  For more information on our company, including its structure and various businesses, please see our corporate website, </w:t>
            </w:r>
            <w:hyperlink r:id="rId8" w:history="1">
              <w:r w:rsidRPr="00331799">
                <w:rPr>
                  <w:rStyle w:val="Hyperlink"/>
                  <w:rFonts w:ascii="Arial" w:hAnsi="Arial" w:cs="Arial"/>
                  <w:sz w:val="20"/>
                  <w:szCs w:val="24"/>
                </w:rPr>
                <w:t>www.corporate.thermofisher.com</w:t>
              </w:r>
            </w:hyperlink>
            <w:r>
              <w:rPr>
                <w:rFonts w:ascii="Arial" w:hAnsi="Arial" w:cs="Arial"/>
                <w:sz w:val="20"/>
                <w:szCs w:val="24"/>
              </w:rPr>
              <w:t xml:space="preserve">. </w:t>
            </w: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32F2DE50" w:rsidR="0009502C" w:rsidRDefault="007A445A" w:rsidP="007A445A">
      <w:pPr>
        <w:widowControl/>
        <w:ind w:left="720"/>
        <w:jc w:val="both"/>
        <w:rPr>
          <w:rFonts w:ascii="Garamond" w:hAnsi="Garamond"/>
          <w:szCs w:val="24"/>
        </w:rPr>
      </w:pPr>
      <w:r w:rsidRPr="007A445A">
        <w:rPr>
          <w:rFonts w:ascii="Garamond" w:hAnsi="Garamond"/>
          <w:szCs w:val="24"/>
        </w:rPr>
        <w:t xml:space="preserve">If the documents being provided by the Respondent are those of a parent or holding company, additional information should be provided for the entity/organization directly responding to this RFP.  That additional information should explain the </w:t>
      </w:r>
      <w:r w:rsidRPr="007A445A">
        <w:rPr>
          <w:rFonts w:ascii="Garamond" w:hAnsi="Garamond"/>
          <w:szCs w:val="24"/>
        </w:rPr>
        <w:lastRenderedPageBreak/>
        <w:t>business relationship between the entities and demonstrate the financial stability of the entity/organization which is directly responding to this RFP.</w:t>
      </w:r>
    </w:p>
    <w:p w14:paraId="2A476F44" w14:textId="77777777" w:rsidR="00D17891" w:rsidRPr="00480672" w:rsidRDefault="00D17891" w:rsidP="00D17891">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5BFD5AB" w14:textId="4F49208C" w:rsidR="00A80DAE" w:rsidRPr="004642DC" w:rsidRDefault="00A80DAE" w:rsidP="00A80DAE">
            <w:pPr>
              <w:widowControl/>
              <w:rPr>
                <w:rFonts w:ascii="Arial" w:hAnsi="Arial" w:cs="Arial"/>
                <w:bCs/>
                <w:sz w:val="20"/>
                <w:szCs w:val="22"/>
              </w:rPr>
            </w:pPr>
            <w:r>
              <w:rPr>
                <w:rFonts w:ascii="Arial" w:hAnsi="Arial" w:cs="Arial"/>
                <w:bCs/>
                <w:sz w:val="20"/>
                <w:szCs w:val="22"/>
              </w:rPr>
              <w:t xml:space="preserve">Thermo Fisher Scientific reported over $25B in revenue in 2019.  It has experienced consistent, year-to-year growth, ensuring that we can serve as a long-term business partner to </w:t>
            </w:r>
            <w:r w:rsidR="001474FE">
              <w:rPr>
                <w:rFonts w:ascii="Arial" w:hAnsi="Arial" w:cs="Arial"/>
                <w:bCs/>
                <w:sz w:val="20"/>
                <w:szCs w:val="22"/>
              </w:rPr>
              <w:t>the State</w:t>
            </w:r>
            <w:r>
              <w:rPr>
                <w:rFonts w:ascii="Arial" w:hAnsi="Arial" w:cs="Arial"/>
                <w:bCs/>
                <w:sz w:val="20"/>
                <w:szCs w:val="22"/>
              </w:rPr>
              <w:t xml:space="preserve">.  </w:t>
            </w:r>
            <w:r w:rsidR="001474FE">
              <w:rPr>
                <w:rFonts w:ascii="Arial" w:hAnsi="Arial" w:cs="Arial"/>
                <w:bCs/>
                <w:sz w:val="20"/>
                <w:szCs w:val="22"/>
              </w:rPr>
              <w:t>Revenue in the most recent quarter (Q</w:t>
            </w:r>
            <w:r w:rsidR="00621D98">
              <w:rPr>
                <w:rFonts w:ascii="Arial" w:hAnsi="Arial" w:cs="Arial"/>
                <w:bCs/>
                <w:sz w:val="20"/>
                <w:szCs w:val="22"/>
              </w:rPr>
              <w:t>3</w:t>
            </w:r>
            <w:r w:rsidR="001474FE">
              <w:rPr>
                <w:rFonts w:ascii="Arial" w:hAnsi="Arial" w:cs="Arial"/>
                <w:bCs/>
                <w:sz w:val="20"/>
                <w:szCs w:val="22"/>
              </w:rPr>
              <w:t xml:space="preserve"> of 2020) increased by </w:t>
            </w:r>
            <w:r w:rsidR="00621D98">
              <w:rPr>
                <w:rFonts w:ascii="Arial" w:hAnsi="Arial" w:cs="Arial"/>
                <w:bCs/>
                <w:sz w:val="20"/>
                <w:szCs w:val="22"/>
              </w:rPr>
              <w:t>36</w:t>
            </w:r>
            <w:r w:rsidR="001474FE">
              <w:rPr>
                <w:rFonts w:ascii="Arial" w:hAnsi="Arial" w:cs="Arial"/>
                <w:bCs/>
                <w:sz w:val="20"/>
                <w:szCs w:val="22"/>
              </w:rPr>
              <w:t>% to $</w:t>
            </w:r>
            <w:r w:rsidR="00621D98">
              <w:rPr>
                <w:rFonts w:ascii="Arial" w:hAnsi="Arial" w:cs="Arial"/>
                <w:bCs/>
                <w:sz w:val="20"/>
                <w:szCs w:val="22"/>
              </w:rPr>
              <w:t>8.52</w:t>
            </w:r>
            <w:r w:rsidR="001474FE">
              <w:rPr>
                <w:rFonts w:ascii="Arial" w:hAnsi="Arial" w:cs="Arial"/>
                <w:bCs/>
                <w:sz w:val="20"/>
                <w:szCs w:val="22"/>
              </w:rPr>
              <w:t xml:space="preserve"> billion, demonstrating excellent performance </w:t>
            </w:r>
            <w:proofErr w:type="gramStart"/>
            <w:r w:rsidR="001474FE">
              <w:rPr>
                <w:rFonts w:ascii="Arial" w:hAnsi="Arial" w:cs="Arial"/>
                <w:bCs/>
                <w:sz w:val="20"/>
                <w:szCs w:val="22"/>
              </w:rPr>
              <w:t>in the midst of</w:t>
            </w:r>
            <w:proofErr w:type="gramEnd"/>
            <w:r w:rsidR="001474FE">
              <w:rPr>
                <w:rFonts w:ascii="Arial" w:hAnsi="Arial" w:cs="Arial"/>
                <w:bCs/>
                <w:sz w:val="20"/>
                <w:szCs w:val="22"/>
              </w:rPr>
              <w:t xml:space="preserve"> the COVID-19 pandemic.  </w:t>
            </w:r>
            <w:r>
              <w:rPr>
                <w:rFonts w:ascii="Arial" w:hAnsi="Arial" w:cs="Arial"/>
                <w:bCs/>
                <w:sz w:val="20"/>
                <w:szCs w:val="22"/>
              </w:rPr>
              <w:t xml:space="preserve">We </w:t>
            </w:r>
            <w:r w:rsidR="001474FE">
              <w:rPr>
                <w:rFonts w:ascii="Arial" w:hAnsi="Arial" w:cs="Arial"/>
                <w:bCs/>
                <w:sz w:val="20"/>
                <w:szCs w:val="22"/>
              </w:rPr>
              <w:t xml:space="preserve">have attached Annual Reports for the two most recently completed fiscal years, 2018 and 2019.  </w:t>
            </w:r>
          </w:p>
          <w:p w14:paraId="0772C468" w14:textId="77777777" w:rsidR="0009502C" w:rsidRPr="00480672" w:rsidRDefault="0009502C" w:rsidP="0009502C">
            <w:pPr>
              <w:rPr>
                <w:rFonts w:ascii="Garamond" w:hAnsi="Garamond"/>
                <w:szCs w:val="24"/>
              </w:rPr>
            </w:pPr>
          </w:p>
        </w:tc>
      </w:tr>
    </w:tbl>
    <w:p w14:paraId="74BE78C5" w14:textId="77777777" w:rsidR="0009502C" w:rsidRPr="00480672" w:rsidRDefault="0009502C" w:rsidP="0009502C">
      <w:pPr>
        <w:rPr>
          <w:rFonts w:ascii="Garamond" w:hAnsi="Garamond"/>
          <w:szCs w:val="24"/>
        </w:rPr>
      </w:pPr>
    </w:p>
    <w:p w14:paraId="4A2C11C8" w14:textId="7DBA5411" w:rsidR="0009502C"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703817B8" w14:textId="77777777" w:rsidR="00D17891" w:rsidRPr="00480672" w:rsidRDefault="00D17891" w:rsidP="00D17891">
      <w:pPr>
        <w:widowControl/>
        <w:ind w:left="720"/>
        <w:jc w:val="both"/>
        <w:rPr>
          <w:rFonts w:ascii="Garamond" w:hAnsi="Garamond"/>
          <w:szCs w:val="24"/>
        </w:rPr>
      </w:pP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7F49B0" w:rsidRPr="00480672" w14:paraId="476E0EEA" w14:textId="77777777" w:rsidTr="007F49B0">
        <w:tc>
          <w:tcPr>
            <w:tcW w:w="8630" w:type="dxa"/>
            <w:shd w:val="clear" w:color="auto" w:fill="FFFF99"/>
          </w:tcPr>
          <w:p w14:paraId="5A39B64B" w14:textId="77777777" w:rsidR="007F49B0" w:rsidRDefault="007F49B0" w:rsidP="007F49B0">
            <w:pPr>
              <w:rPr>
                <w:rFonts w:ascii="Arial" w:hAnsi="Arial" w:cs="Arial"/>
                <w:bCs/>
                <w:sz w:val="20"/>
                <w:szCs w:val="22"/>
              </w:rPr>
            </w:pPr>
            <w:r w:rsidRPr="00AA44B4">
              <w:rPr>
                <w:rFonts w:ascii="Arial" w:hAnsi="Arial" w:cs="Arial"/>
                <w:bCs/>
                <w:sz w:val="20"/>
                <w:szCs w:val="22"/>
              </w:rPr>
              <w:t xml:space="preserve">Thermo Fisher Scientific is a publicly traded company with more than $26B in annual revenues. It has a broad corporate compliance and audit policy, including annual independent </w:t>
            </w:r>
            <w:proofErr w:type="gramStart"/>
            <w:r w:rsidRPr="00AA44B4">
              <w:rPr>
                <w:rFonts w:ascii="Arial" w:hAnsi="Arial" w:cs="Arial"/>
                <w:bCs/>
                <w:sz w:val="20"/>
                <w:szCs w:val="22"/>
              </w:rPr>
              <w:t>third party</w:t>
            </w:r>
            <w:proofErr w:type="gramEnd"/>
            <w:r w:rsidRPr="00AA44B4">
              <w:rPr>
                <w:rFonts w:ascii="Arial" w:hAnsi="Arial" w:cs="Arial"/>
                <w:bCs/>
                <w:sz w:val="20"/>
                <w:szCs w:val="22"/>
              </w:rPr>
              <w:t xml:space="preserve"> audits. Specific information and policies are available for review at </w:t>
            </w:r>
            <w:r>
              <w:rPr>
                <w:rFonts w:ascii="Arial" w:hAnsi="Arial" w:cs="Arial"/>
                <w:bCs/>
                <w:sz w:val="20"/>
                <w:szCs w:val="22"/>
              </w:rPr>
              <w:t xml:space="preserve">our Corporate website, </w:t>
            </w:r>
            <w:hyperlink r:id="rId9" w:history="1">
              <w:r w:rsidRPr="0074380F">
                <w:rPr>
                  <w:rStyle w:val="Hyperlink"/>
                  <w:rFonts w:ascii="Arial" w:hAnsi="Arial" w:cs="Arial"/>
                  <w:bCs/>
                  <w:sz w:val="20"/>
                  <w:szCs w:val="22"/>
                </w:rPr>
                <w:t>www.corporate.thermofisher.com</w:t>
              </w:r>
            </w:hyperlink>
            <w:r>
              <w:rPr>
                <w:rFonts w:ascii="Arial" w:hAnsi="Arial" w:cs="Arial"/>
                <w:bCs/>
                <w:sz w:val="20"/>
                <w:szCs w:val="22"/>
              </w:rPr>
              <w:t xml:space="preserve">. </w:t>
            </w:r>
          </w:p>
          <w:p w14:paraId="4F57502A" w14:textId="2A5000C1" w:rsidR="00685884" w:rsidRDefault="00685884" w:rsidP="007F49B0">
            <w:pPr>
              <w:rPr>
                <w:rFonts w:ascii="Garamond" w:hAnsi="Garamond"/>
                <w:szCs w:val="24"/>
              </w:rPr>
            </w:pPr>
          </w:p>
        </w:tc>
      </w:tr>
    </w:tbl>
    <w:p w14:paraId="643F01E5" w14:textId="77777777" w:rsidR="006405E9" w:rsidRPr="00480672" w:rsidRDefault="006405E9" w:rsidP="0009502C">
      <w:pPr>
        <w:rPr>
          <w:rFonts w:ascii="Garamond" w:hAnsi="Garamond"/>
          <w:szCs w:val="24"/>
        </w:rPr>
      </w:pPr>
    </w:p>
    <w:p w14:paraId="75AD36B8" w14:textId="62B40C7B" w:rsidR="0009502C" w:rsidRDefault="0009502C" w:rsidP="0009502C">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bookmarkStart w:id="0" w:name="_GoBack"/>
      <w:bookmarkEnd w:id="0"/>
    </w:p>
    <w:p w14:paraId="304FBAB4" w14:textId="77777777" w:rsidR="00D17891" w:rsidRPr="00D17891" w:rsidRDefault="00D17891" w:rsidP="00D17891">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7F80A66F" w:rsidR="0009502C" w:rsidRPr="00480672" w:rsidRDefault="009B56CE" w:rsidP="0009502C">
            <w:pPr>
              <w:rPr>
                <w:rFonts w:ascii="Garamond" w:hAnsi="Garamond"/>
                <w:szCs w:val="24"/>
              </w:rPr>
            </w:pPr>
            <w:r w:rsidRPr="009B56CE">
              <w:rPr>
                <w:rFonts w:ascii="Arial" w:hAnsi="Arial" w:cs="Arial"/>
                <w:bCs/>
                <w:sz w:val="20"/>
                <w:szCs w:val="22"/>
              </w:rPr>
              <w:t xml:space="preserve">Please see the attached Redline to the Contract Terms </w:t>
            </w:r>
            <w:r w:rsidRPr="009B7037">
              <w:rPr>
                <w:rFonts w:ascii="Arial" w:hAnsi="Arial" w:cs="Arial"/>
                <w:bCs/>
                <w:color w:val="000000" w:themeColor="text1"/>
                <w:sz w:val="20"/>
                <w:szCs w:val="22"/>
              </w:rPr>
              <w:t>document.</w:t>
            </w:r>
            <w:r w:rsidRPr="009B7037">
              <w:rPr>
                <w:rFonts w:ascii="Garamond" w:hAnsi="Garamond"/>
                <w:color w:val="000000" w:themeColor="text1"/>
                <w:szCs w:val="24"/>
              </w:rPr>
              <w:t xml:space="preserve"> </w:t>
            </w:r>
          </w:p>
        </w:tc>
      </w:tr>
    </w:tbl>
    <w:p w14:paraId="126A8255" w14:textId="77777777" w:rsidR="0009502C" w:rsidRPr="00480672" w:rsidRDefault="0009502C" w:rsidP="0009502C">
      <w:pPr>
        <w:rPr>
          <w:rFonts w:ascii="Garamond" w:hAnsi="Garamond"/>
          <w:szCs w:val="24"/>
        </w:rPr>
      </w:pPr>
    </w:p>
    <w:p w14:paraId="1B16C362" w14:textId="74B1CA9A"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w:t>
      </w:r>
      <w:r w:rsidR="006676D8" w:rsidRPr="00252ECA">
        <w:rPr>
          <w:rFonts w:ascii="Garamond" w:hAnsi="Garamond"/>
          <w:bCs/>
          <w:szCs w:val="24"/>
        </w:rPr>
        <w:t xml:space="preserve">captured on ATTACHMENT </w:t>
      </w:r>
      <w:r w:rsidR="00252ECA" w:rsidRPr="00252ECA">
        <w:rPr>
          <w:rFonts w:ascii="Garamond" w:hAnsi="Garamond"/>
          <w:bCs/>
          <w:szCs w:val="24"/>
        </w:rPr>
        <w:t>I</w:t>
      </w:r>
      <w:r w:rsidR="008067A2" w:rsidRPr="00252ECA">
        <w:rPr>
          <w:rFonts w:ascii="Garamond" w:hAnsi="Garamond"/>
          <w:bCs/>
          <w:szCs w:val="24"/>
        </w:rPr>
        <w:t>.</w:t>
      </w:r>
      <w:r w:rsidR="006676D8" w:rsidRPr="00252ECA">
        <w:rPr>
          <w:rFonts w:ascii="Garamond" w:hAnsi="Garamond"/>
          <w:bCs/>
          <w:szCs w:val="24"/>
        </w:rPr>
        <w:t xml:space="preserve">  Respondent should complete the reference information portion of the ATTACHMENT </w:t>
      </w:r>
      <w:r w:rsidR="00252ECA" w:rsidRPr="00252ECA">
        <w:rPr>
          <w:rFonts w:ascii="Garamond" w:hAnsi="Garamond"/>
          <w:bCs/>
          <w:szCs w:val="24"/>
        </w:rPr>
        <w:t>I</w:t>
      </w:r>
      <w:r w:rsidR="006676D8" w:rsidRPr="00252ECA">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ATTACHMENT </w:t>
      </w:r>
      <w:r w:rsidR="00252ECA" w:rsidRPr="00252ECA">
        <w:rPr>
          <w:rFonts w:ascii="Garamond" w:hAnsi="Garamond"/>
          <w:bCs/>
          <w:szCs w:val="24"/>
        </w:rPr>
        <w:t>I</w:t>
      </w:r>
      <w:r w:rsidR="008067A2" w:rsidRPr="00252ECA">
        <w:rPr>
          <w:rFonts w:ascii="Garamond" w:hAnsi="Garamond"/>
          <w:bCs/>
          <w:szCs w:val="24"/>
        </w:rPr>
        <w:t xml:space="preserve"> </w:t>
      </w:r>
      <w:r w:rsidR="006676D8" w:rsidRPr="00252ECA">
        <w:rPr>
          <w:rFonts w:ascii="Garamond" w:hAnsi="Garamond"/>
          <w:bCs/>
          <w:szCs w:val="24"/>
        </w:rPr>
        <w:t xml:space="preserve">should </w:t>
      </w:r>
      <w:r w:rsidR="006676D8" w:rsidRPr="006676D8">
        <w:rPr>
          <w:rFonts w:ascii="Garamond" w:hAnsi="Garamond"/>
          <w:bCs/>
          <w:szCs w:val="24"/>
        </w:rPr>
        <w:t xml:space="preserve">be completed by the reference and </w:t>
      </w:r>
      <w:r w:rsidR="006676D8" w:rsidRPr="006676D8">
        <w:rPr>
          <w:rFonts w:ascii="Garamond" w:hAnsi="Garamond"/>
          <w:b/>
          <w:bCs/>
          <w:szCs w:val="24"/>
          <w:u w:val="single"/>
        </w:rPr>
        <w:t xml:space="preserve">emailed DIRECTLY </w:t>
      </w:r>
      <w:r w:rsidR="006676D8" w:rsidRPr="006676D8">
        <w:rPr>
          <w:rFonts w:ascii="Garamond" w:hAnsi="Garamond"/>
          <w:bCs/>
          <w:szCs w:val="24"/>
        </w:rPr>
        <w:t xml:space="preserve">to the State.   The State should receive </w:t>
      </w:r>
      <w:r w:rsidR="005A3ABC" w:rsidRPr="005A3ABC">
        <w:rPr>
          <w:rFonts w:ascii="Garamond" w:hAnsi="Garamond"/>
          <w:bCs/>
          <w:szCs w:val="24"/>
        </w:rPr>
        <w:t>three</w:t>
      </w:r>
      <w:r w:rsidR="006676D8" w:rsidRPr="005A3ABC">
        <w:rPr>
          <w:rFonts w:ascii="Garamond" w:hAnsi="Garamond"/>
          <w:bCs/>
          <w:szCs w:val="24"/>
        </w:rPr>
        <w:t xml:space="preserve"> (</w:t>
      </w:r>
      <w:r w:rsidR="005A3ABC" w:rsidRPr="005A3ABC">
        <w:rPr>
          <w:rFonts w:ascii="Garamond" w:hAnsi="Garamond"/>
          <w:bCs/>
          <w:szCs w:val="24"/>
        </w:rPr>
        <w:t>3</w:t>
      </w:r>
      <w:r w:rsidR="006676D8" w:rsidRPr="005A3ABC">
        <w:rPr>
          <w:rFonts w:ascii="Garamond" w:hAnsi="Garamond"/>
          <w:bCs/>
          <w:szCs w:val="24"/>
        </w:rPr>
        <w:t xml:space="preserve">) </w:t>
      </w:r>
      <w:r w:rsidR="006676D8" w:rsidRPr="008067A2">
        <w:rPr>
          <w:rFonts w:ascii="Garamond" w:hAnsi="Garamond"/>
          <w:bCs/>
          <w:szCs w:val="24"/>
        </w:rPr>
        <w:t xml:space="preserve">ATTACHMENT </w:t>
      </w:r>
      <w:r w:rsidR="00252ECA">
        <w:rPr>
          <w:rFonts w:ascii="Garamond" w:hAnsi="Garamond"/>
          <w:bCs/>
          <w:szCs w:val="24"/>
        </w:rPr>
        <w:t>I</w:t>
      </w:r>
      <w:r w:rsidR="006676D8" w:rsidRPr="008067A2">
        <w:rPr>
          <w:rFonts w:ascii="Garamond" w:hAnsi="Garamond"/>
          <w:bCs/>
          <w:szCs w:val="24"/>
        </w:rPr>
        <w:t xml:space="preserve">s from clients for whom the Respondent has provided products and/or services that are the same or </w:t>
      </w:r>
      <w:proofErr w:type="gramStart"/>
      <w:r w:rsidR="006676D8" w:rsidRPr="008067A2">
        <w:rPr>
          <w:rFonts w:ascii="Garamond" w:hAnsi="Garamond"/>
          <w:bCs/>
          <w:szCs w:val="24"/>
        </w:rPr>
        <w:t>similar to</w:t>
      </w:r>
      <w:proofErr w:type="gramEnd"/>
      <w:r w:rsidR="006676D8" w:rsidRPr="008067A2">
        <w:rPr>
          <w:rFonts w:ascii="Garamond" w:hAnsi="Garamond"/>
          <w:bCs/>
          <w:szCs w:val="24"/>
        </w:rPr>
        <w:t xml:space="preserve"> those products and/or services requested in this RFP.</w:t>
      </w:r>
      <w:r w:rsidR="003B7A2F" w:rsidRPr="008067A2">
        <w:rPr>
          <w:rFonts w:ascii="Garamond" w:hAnsi="Garamond"/>
          <w:bCs/>
          <w:szCs w:val="24"/>
        </w:rPr>
        <w:t xml:space="preserve"> ATTACHMENT </w:t>
      </w:r>
      <w:r w:rsidR="00252ECA">
        <w:rPr>
          <w:rFonts w:ascii="Garamond" w:hAnsi="Garamond"/>
          <w:bCs/>
          <w:szCs w:val="24"/>
        </w:rPr>
        <w:t>I</w:t>
      </w:r>
      <w:r w:rsidR="003B7A2F" w:rsidRPr="008067A2">
        <w:rPr>
          <w:rFonts w:ascii="Garamond" w:hAnsi="Garamond"/>
          <w:bCs/>
          <w:szCs w:val="24"/>
        </w:rPr>
        <w:t xml:space="preserve"> </w:t>
      </w:r>
      <w:r w:rsidR="003B7A2F">
        <w:rPr>
          <w:rFonts w:ascii="Garamond" w:hAnsi="Garamond"/>
          <w:bCs/>
          <w:szCs w:val="24"/>
        </w:rPr>
        <w:t xml:space="preserve">should be submitted to </w:t>
      </w:r>
      <w:hyperlink r:id="rId10" w:history="1">
        <w:r w:rsidR="008F4E85" w:rsidRPr="008F4E85">
          <w:rPr>
            <w:rStyle w:val="Hyperlink"/>
            <w:rFonts w:ascii="Garamond" w:hAnsi="Garamond"/>
            <w:bCs/>
            <w:szCs w:val="24"/>
          </w:rPr>
          <w:t>idoareferences@idoa.in.gov</w:t>
        </w:r>
      </w:hyperlink>
      <w:r w:rsidR="008F4E85" w:rsidRPr="008F4E85">
        <w:rPr>
          <w:rStyle w:val="CommentReference"/>
          <w:rFonts w:ascii="Garamond" w:hAnsi="Garamond"/>
          <w:sz w:val="24"/>
          <w:szCs w:val="24"/>
        </w:rPr>
        <w:t xml:space="preserve">. Attachment </w:t>
      </w:r>
      <w:r w:rsidR="00252ECA">
        <w:rPr>
          <w:rStyle w:val="CommentReference"/>
          <w:rFonts w:ascii="Garamond" w:hAnsi="Garamond"/>
          <w:sz w:val="24"/>
          <w:szCs w:val="24"/>
        </w:rPr>
        <w:t>I</w:t>
      </w:r>
      <w:r w:rsidR="008F4E85" w:rsidRPr="008F4E85">
        <w:rPr>
          <w:rStyle w:val="CommentReference"/>
          <w:rFonts w:ascii="Garamond" w:hAnsi="Garamond"/>
          <w:sz w:val="24"/>
          <w:szCs w:val="24"/>
        </w:rPr>
        <w:t xml:space="preserve"> should 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gridCol w:w="4343"/>
      </w:tblGrid>
      <w:tr w:rsidR="0009502C" w:rsidRPr="00480672" w14:paraId="0318FD3D" w14:textId="77777777">
        <w:tc>
          <w:tcPr>
            <w:tcW w:w="4428" w:type="dxa"/>
            <w:shd w:val="clear" w:color="auto" w:fill="B3B3B3"/>
            <w:vAlign w:val="bottom"/>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428"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09502C" w:rsidRPr="00480672" w14:paraId="4051EF31" w14:textId="77777777">
        <w:tc>
          <w:tcPr>
            <w:tcW w:w="4428" w:type="dxa"/>
            <w:vAlign w:val="bottom"/>
          </w:tcPr>
          <w:p w14:paraId="70B7CA00"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5CD4EB9" w14:textId="7F0C7328" w:rsidR="0009502C" w:rsidRPr="001167B7" w:rsidRDefault="00C63FB1" w:rsidP="0009502C">
            <w:pPr>
              <w:rPr>
                <w:rFonts w:ascii="Arial" w:hAnsi="Arial" w:cs="Arial"/>
                <w:color w:val="000000" w:themeColor="text1"/>
                <w:sz w:val="22"/>
                <w:szCs w:val="22"/>
                <w:highlight w:val="yellow"/>
              </w:rPr>
            </w:pPr>
            <w:r w:rsidRPr="001167B7">
              <w:rPr>
                <w:rFonts w:ascii="Arial" w:hAnsi="Arial" w:cs="Arial"/>
                <w:color w:val="000000" w:themeColor="text1"/>
                <w:sz w:val="22"/>
                <w:szCs w:val="22"/>
              </w:rPr>
              <w:t>Eli Lilly &amp; Company</w:t>
            </w:r>
          </w:p>
        </w:tc>
      </w:tr>
      <w:tr w:rsidR="0009502C" w:rsidRPr="00480672" w14:paraId="492DD976" w14:textId="77777777">
        <w:tc>
          <w:tcPr>
            <w:tcW w:w="4428" w:type="dxa"/>
            <w:vAlign w:val="bottom"/>
          </w:tcPr>
          <w:p w14:paraId="2251F86E"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3DB44E55" w14:textId="2FB7EC6A" w:rsidR="0009502C" w:rsidRPr="00FC5D7E" w:rsidRDefault="008E22E4" w:rsidP="0009502C">
            <w:pPr>
              <w:rPr>
                <w:rFonts w:ascii="Arial" w:hAnsi="Arial" w:cs="Arial"/>
                <w:color w:val="000000" w:themeColor="text1"/>
                <w:sz w:val="20"/>
                <w:highlight w:val="yellow"/>
              </w:rPr>
            </w:pPr>
            <w:r w:rsidRPr="00FC5D7E">
              <w:rPr>
                <w:rFonts w:ascii="Arial" w:hAnsi="Arial" w:cs="Arial"/>
                <w:color w:val="000000" w:themeColor="text1"/>
                <w:sz w:val="20"/>
              </w:rPr>
              <w:t>893 Delaware Street</w:t>
            </w:r>
          </w:p>
        </w:tc>
      </w:tr>
      <w:tr w:rsidR="0009502C" w:rsidRPr="00480672" w14:paraId="110E1716" w14:textId="77777777">
        <w:tc>
          <w:tcPr>
            <w:tcW w:w="4428" w:type="dxa"/>
            <w:vAlign w:val="bottom"/>
          </w:tcPr>
          <w:p w14:paraId="7EFC61C0" w14:textId="77777777" w:rsidR="0009502C" w:rsidRPr="00480672" w:rsidRDefault="0009502C" w:rsidP="0009502C">
            <w:pPr>
              <w:rPr>
                <w:rFonts w:ascii="Garamond" w:hAnsi="Garamond"/>
                <w:szCs w:val="24"/>
              </w:rPr>
            </w:pPr>
            <w:r w:rsidRPr="00480672">
              <w:rPr>
                <w:rFonts w:ascii="Garamond" w:hAnsi="Garamond"/>
                <w:szCs w:val="24"/>
              </w:rPr>
              <w:lastRenderedPageBreak/>
              <w:t>Company City, State, Zip</w:t>
            </w:r>
          </w:p>
        </w:tc>
        <w:tc>
          <w:tcPr>
            <w:tcW w:w="4428" w:type="dxa"/>
            <w:shd w:val="clear" w:color="auto" w:fill="FFFF99"/>
          </w:tcPr>
          <w:p w14:paraId="333EF371" w14:textId="3C00961D" w:rsidR="0009502C" w:rsidRPr="00FC5D7E" w:rsidRDefault="008E22E4" w:rsidP="0009502C">
            <w:pPr>
              <w:rPr>
                <w:rFonts w:ascii="Arial" w:hAnsi="Arial" w:cs="Arial"/>
                <w:color w:val="000000" w:themeColor="text1"/>
                <w:sz w:val="20"/>
              </w:rPr>
            </w:pPr>
            <w:r w:rsidRPr="00FC5D7E">
              <w:rPr>
                <w:rFonts w:ascii="Arial" w:hAnsi="Arial" w:cs="Arial"/>
                <w:color w:val="000000" w:themeColor="text1"/>
                <w:sz w:val="20"/>
              </w:rPr>
              <w:t>Indianapolis, IN 4622546225</w:t>
            </w:r>
          </w:p>
        </w:tc>
      </w:tr>
      <w:tr w:rsidR="0009502C" w:rsidRPr="00480672" w14:paraId="2D67BE85" w14:textId="77777777">
        <w:tc>
          <w:tcPr>
            <w:tcW w:w="4428" w:type="dxa"/>
            <w:vAlign w:val="bottom"/>
          </w:tcPr>
          <w:p w14:paraId="64986315"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451E1065" w14:textId="071F3CE6" w:rsidR="0009502C" w:rsidRPr="00FC5D7E" w:rsidRDefault="009B7037" w:rsidP="0009502C">
            <w:pPr>
              <w:rPr>
                <w:rFonts w:ascii="Arial" w:hAnsi="Arial" w:cs="Arial"/>
                <w:color w:val="000000" w:themeColor="text1"/>
                <w:sz w:val="20"/>
              </w:rPr>
            </w:pPr>
            <w:hyperlink r:id="rId11" w:history="1">
              <w:r w:rsidR="008E22E4" w:rsidRPr="00FC5D7E">
                <w:rPr>
                  <w:rFonts w:ascii="Arial" w:hAnsi="Arial" w:cs="Arial"/>
                  <w:color w:val="000000" w:themeColor="text1"/>
                  <w:sz w:val="20"/>
                </w:rPr>
                <w:t>https://www.lilly.com/</w:t>
              </w:r>
            </w:hyperlink>
          </w:p>
        </w:tc>
      </w:tr>
      <w:tr w:rsidR="0009502C" w:rsidRPr="00480672" w14:paraId="5C57E457" w14:textId="77777777">
        <w:tc>
          <w:tcPr>
            <w:tcW w:w="4428" w:type="dxa"/>
            <w:vAlign w:val="bottom"/>
          </w:tcPr>
          <w:p w14:paraId="0004C744"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525D321A" w14:textId="5A0F4534" w:rsidR="0009502C" w:rsidRPr="00FC5D7E" w:rsidRDefault="00454F83" w:rsidP="0009502C">
            <w:pPr>
              <w:rPr>
                <w:rFonts w:ascii="Arial" w:hAnsi="Arial" w:cs="Arial"/>
                <w:color w:val="000000" w:themeColor="text1"/>
                <w:sz w:val="20"/>
              </w:rPr>
            </w:pPr>
            <w:r w:rsidRPr="00FC5D7E">
              <w:rPr>
                <w:rFonts w:ascii="Arial" w:hAnsi="Arial" w:cs="Arial"/>
                <w:color w:val="000000" w:themeColor="text1"/>
                <w:sz w:val="20"/>
              </w:rPr>
              <w:t xml:space="preserve">Karen </w:t>
            </w:r>
            <w:proofErr w:type="spellStart"/>
            <w:r w:rsidRPr="00FC5D7E">
              <w:rPr>
                <w:rFonts w:ascii="Arial" w:hAnsi="Arial" w:cs="Arial"/>
                <w:color w:val="000000" w:themeColor="text1"/>
                <w:sz w:val="20"/>
              </w:rPr>
              <w:t>Maupins</w:t>
            </w:r>
            <w:proofErr w:type="spellEnd"/>
          </w:p>
        </w:tc>
      </w:tr>
      <w:tr w:rsidR="008F4E85" w:rsidRPr="00480672" w14:paraId="4549D602" w14:textId="77777777">
        <w:tc>
          <w:tcPr>
            <w:tcW w:w="4428" w:type="dxa"/>
            <w:vAlign w:val="bottom"/>
          </w:tcPr>
          <w:p w14:paraId="4EF92ACE" w14:textId="61E469AB"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47EC0A09" w14:textId="264FD2C8" w:rsidR="008F4E85" w:rsidRPr="00FC5D7E" w:rsidRDefault="008E22E4" w:rsidP="0009502C">
            <w:pPr>
              <w:rPr>
                <w:rFonts w:ascii="Arial" w:hAnsi="Arial" w:cs="Arial"/>
                <w:color w:val="000000" w:themeColor="text1"/>
                <w:sz w:val="20"/>
              </w:rPr>
            </w:pPr>
            <w:r w:rsidRPr="00FC5D7E">
              <w:rPr>
                <w:rFonts w:ascii="Arial" w:hAnsi="Arial" w:cs="Arial"/>
                <w:color w:val="000000" w:themeColor="text1"/>
                <w:sz w:val="20"/>
              </w:rPr>
              <w:t>Alliance Manager/Lilly Research Laboratories, Research Alliance Management</w:t>
            </w:r>
          </w:p>
        </w:tc>
      </w:tr>
      <w:tr w:rsidR="0009502C" w:rsidRPr="00480672" w14:paraId="5C86AA6A" w14:textId="77777777">
        <w:tc>
          <w:tcPr>
            <w:tcW w:w="4428" w:type="dxa"/>
            <w:vAlign w:val="bottom"/>
          </w:tcPr>
          <w:p w14:paraId="32DFBD9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4C79177B" w14:textId="3F1EAEC2" w:rsidR="0009502C" w:rsidRPr="00FC5D7E" w:rsidRDefault="008E22E4" w:rsidP="0009502C">
            <w:pPr>
              <w:rPr>
                <w:rFonts w:ascii="Arial" w:hAnsi="Arial" w:cs="Arial"/>
                <w:color w:val="000000" w:themeColor="text1"/>
                <w:sz w:val="20"/>
              </w:rPr>
            </w:pPr>
            <w:r w:rsidRPr="00FC5D7E">
              <w:rPr>
                <w:rFonts w:ascii="Arial" w:hAnsi="Arial" w:cs="Arial"/>
                <w:color w:val="000000" w:themeColor="text1"/>
                <w:sz w:val="20"/>
              </w:rPr>
              <w:t>317.276.2286 (office) | 317.987.5010 (mobile)</w:t>
            </w:r>
          </w:p>
        </w:tc>
      </w:tr>
      <w:tr w:rsidR="0009502C" w:rsidRPr="00480672" w14:paraId="136DEFE0" w14:textId="77777777">
        <w:tc>
          <w:tcPr>
            <w:tcW w:w="4428" w:type="dxa"/>
            <w:vAlign w:val="bottom"/>
          </w:tcPr>
          <w:p w14:paraId="3544917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228CED07" w14:textId="6E0EC808" w:rsidR="0009502C" w:rsidRPr="00FC5D7E" w:rsidRDefault="008E22E4" w:rsidP="0009502C">
            <w:pPr>
              <w:rPr>
                <w:rFonts w:ascii="Arial" w:hAnsi="Arial" w:cs="Arial"/>
                <w:color w:val="000000" w:themeColor="text1"/>
                <w:sz w:val="20"/>
              </w:rPr>
            </w:pPr>
            <w:r w:rsidRPr="00FC5D7E">
              <w:rPr>
                <w:rFonts w:ascii="Arial" w:hAnsi="Arial" w:cs="Arial"/>
                <w:color w:val="000000" w:themeColor="text1"/>
                <w:sz w:val="20"/>
              </w:rPr>
              <w:t>(317) 655-1888</w:t>
            </w:r>
          </w:p>
        </w:tc>
      </w:tr>
      <w:tr w:rsidR="0009502C" w:rsidRPr="00480672" w14:paraId="11E8EEB2" w14:textId="77777777">
        <w:tc>
          <w:tcPr>
            <w:tcW w:w="4428" w:type="dxa"/>
            <w:vAlign w:val="bottom"/>
          </w:tcPr>
          <w:p w14:paraId="7B981F0A"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15EBCB74" w14:textId="26C90863" w:rsidR="0009502C" w:rsidRPr="00FC5D7E" w:rsidRDefault="009B7037" w:rsidP="0009502C">
            <w:pPr>
              <w:rPr>
                <w:rFonts w:ascii="Arial" w:hAnsi="Arial" w:cs="Arial"/>
                <w:color w:val="000000" w:themeColor="text1"/>
                <w:sz w:val="20"/>
              </w:rPr>
            </w:pPr>
            <w:hyperlink r:id="rId12" w:history="1">
              <w:r w:rsidR="008E22E4" w:rsidRPr="00FC5D7E">
                <w:rPr>
                  <w:rFonts w:ascii="Arial" w:hAnsi="Arial" w:cs="Arial"/>
                  <w:sz w:val="20"/>
                </w:rPr>
                <w:t>maupins_karen_k@lilly.com</w:t>
              </w:r>
            </w:hyperlink>
          </w:p>
        </w:tc>
      </w:tr>
      <w:tr w:rsidR="0009502C" w:rsidRPr="00480672" w14:paraId="37CBD940" w14:textId="77777777">
        <w:tc>
          <w:tcPr>
            <w:tcW w:w="4428" w:type="dxa"/>
            <w:tcBorders>
              <w:bottom w:val="single" w:sz="4" w:space="0" w:color="auto"/>
            </w:tcBorders>
            <w:vAlign w:val="bottom"/>
          </w:tcPr>
          <w:p w14:paraId="3019D611"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6A3614E1" w14:textId="0FDE3F79" w:rsidR="0009502C" w:rsidRPr="00FC5D7E" w:rsidRDefault="008E22E4" w:rsidP="0009502C">
            <w:pPr>
              <w:rPr>
                <w:rFonts w:ascii="Arial" w:hAnsi="Arial" w:cs="Arial"/>
                <w:color w:val="000000" w:themeColor="text1"/>
                <w:sz w:val="20"/>
              </w:rPr>
            </w:pPr>
            <w:r w:rsidRPr="00FC5D7E">
              <w:rPr>
                <w:rFonts w:ascii="Arial" w:hAnsi="Arial" w:cs="Arial"/>
                <w:color w:val="000000" w:themeColor="text1"/>
                <w:sz w:val="20"/>
              </w:rPr>
              <w:t>Pharmaceutical</w:t>
            </w:r>
          </w:p>
        </w:tc>
      </w:tr>
      <w:tr w:rsidR="0009502C" w:rsidRPr="00480672" w14:paraId="469B616D" w14:textId="77777777">
        <w:tc>
          <w:tcPr>
            <w:tcW w:w="4428" w:type="dxa"/>
            <w:shd w:val="clear" w:color="auto" w:fill="B3B3B3"/>
            <w:vAlign w:val="bottom"/>
          </w:tcPr>
          <w:p w14:paraId="225A3A1A"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428" w:type="dxa"/>
            <w:tcBorders>
              <w:bottom w:val="single" w:sz="4" w:space="0" w:color="auto"/>
            </w:tcBorders>
            <w:shd w:val="clear" w:color="auto" w:fill="B3B3B3"/>
          </w:tcPr>
          <w:p w14:paraId="7A73C6B7" w14:textId="77777777" w:rsidR="0009502C" w:rsidRPr="00C63FB1" w:rsidRDefault="0009502C" w:rsidP="0009502C">
            <w:pPr>
              <w:rPr>
                <w:rFonts w:ascii="Garamond" w:hAnsi="Garamond"/>
                <w:color w:val="44546A" w:themeColor="text2"/>
                <w:szCs w:val="24"/>
                <w:highlight w:val="yellow"/>
              </w:rPr>
            </w:pPr>
          </w:p>
        </w:tc>
      </w:tr>
      <w:tr w:rsidR="0009502C" w:rsidRPr="00480672" w14:paraId="1F665529" w14:textId="77777777">
        <w:tc>
          <w:tcPr>
            <w:tcW w:w="4428" w:type="dxa"/>
            <w:vAlign w:val="bottom"/>
          </w:tcPr>
          <w:p w14:paraId="51F571AE"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0170D4E" w14:textId="70932BAE" w:rsidR="0009502C" w:rsidRPr="00C63FB1" w:rsidRDefault="001B2573" w:rsidP="0009502C">
            <w:pPr>
              <w:rPr>
                <w:rFonts w:ascii="Garamond" w:hAnsi="Garamond"/>
                <w:color w:val="44546A" w:themeColor="text2"/>
                <w:szCs w:val="24"/>
                <w:highlight w:val="yellow"/>
              </w:rPr>
            </w:pPr>
            <w:r w:rsidRPr="001B2573">
              <w:rPr>
                <w:rFonts w:ascii="Arial" w:hAnsi="Arial" w:cs="Arial"/>
                <w:color w:val="000000" w:themeColor="text1"/>
                <w:sz w:val="20"/>
              </w:rPr>
              <w:t>The Heritage Group</w:t>
            </w:r>
          </w:p>
        </w:tc>
      </w:tr>
      <w:tr w:rsidR="0009502C" w:rsidRPr="00480672" w14:paraId="6949E424" w14:textId="77777777">
        <w:tc>
          <w:tcPr>
            <w:tcW w:w="4428" w:type="dxa"/>
            <w:vAlign w:val="bottom"/>
          </w:tcPr>
          <w:p w14:paraId="33DDC7FB"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5E4DC9F7" w14:textId="3D09F769" w:rsidR="0009502C" w:rsidRPr="00C63FB1" w:rsidRDefault="001B2573" w:rsidP="0009502C">
            <w:pPr>
              <w:rPr>
                <w:rFonts w:ascii="Garamond" w:hAnsi="Garamond"/>
                <w:color w:val="44546A" w:themeColor="text2"/>
                <w:szCs w:val="24"/>
                <w:highlight w:val="yellow"/>
              </w:rPr>
            </w:pPr>
            <w:r w:rsidRPr="001B2573">
              <w:rPr>
                <w:rFonts w:ascii="Arial" w:hAnsi="Arial" w:cs="Arial"/>
                <w:color w:val="000000" w:themeColor="text1"/>
                <w:sz w:val="20"/>
              </w:rPr>
              <w:t>6320 Intech Way</w:t>
            </w:r>
          </w:p>
        </w:tc>
      </w:tr>
      <w:tr w:rsidR="0009502C" w:rsidRPr="00480672" w14:paraId="79394CB5" w14:textId="77777777">
        <w:tc>
          <w:tcPr>
            <w:tcW w:w="4428" w:type="dxa"/>
            <w:vAlign w:val="bottom"/>
          </w:tcPr>
          <w:p w14:paraId="52C229FF"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DD1EB35" w14:textId="599E4080" w:rsidR="0009502C" w:rsidRPr="001B2573" w:rsidRDefault="001B2573" w:rsidP="0009502C">
            <w:pPr>
              <w:rPr>
                <w:rFonts w:ascii="Arial" w:hAnsi="Arial" w:cs="Arial"/>
                <w:color w:val="000000" w:themeColor="text1"/>
                <w:sz w:val="20"/>
              </w:rPr>
            </w:pPr>
            <w:r w:rsidRPr="001B2573">
              <w:rPr>
                <w:rFonts w:ascii="Arial" w:hAnsi="Arial" w:cs="Arial"/>
                <w:color w:val="000000" w:themeColor="text1"/>
                <w:sz w:val="20"/>
              </w:rPr>
              <w:t>Indianapolis, IN 46278</w:t>
            </w:r>
          </w:p>
        </w:tc>
      </w:tr>
      <w:tr w:rsidR="0009502C" w:rsidRPr="00480672" w14:paraId="10F7D583" w14:textId="77777777">
        <w:tc>
          <w:tcPr>
            <w:tcW w:w="4428" w:type="dxa"/>
            <w:vAlign w:val="bottom"/>
          </w:tcPr>
          <w:p w14:paraId="2640B0B8"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1AC84B27" w14:textId="3772BB77" w:rsidR="0009502C" w:rsidRPr="00C63FB1" w:rsidRDefault="001B2573" w:rsidP="0009502C">
            <w:pPr>
              <w:rPr>
                <w:rFonts w:ascii="Garamond" w:hAnsi="Garamond"/>
                <w:color w:val="44546A" w:themeColor="text2"/>
                <w:szCs w:val="24"/>
                <w:highlight w:val="yellow"/>
              </w:rPr>
            </w:pPr>
            <w:r w:rsidRPr="001B2573">
              <w:rPr>
                <w:rFonts w:ascii="Arial" w:hAnsi="Arial" w:cs="Arial"/>
                <w:color w:val="000000" w:themeColor="text1"/>
                <w:sz w:val="20"/>
              </w:rPr>
              <w:t>thgrp.com/heritage-research-group/</w:t>
            </w:r>
          </w:p>
        </w:tc>
      </w:tr>
      <w:tr w:rsidR="0009502C" w:rsidRPr="00480672" w14:paraId="618D8639" w14:textId="77777777">
        <w:tc>
          <w:tcPr>
            <w:tcW w:w="4428" w:type="dxa"/>
            <w:vAlign w:val="bottom"/>
          </w:tcPr>
          <w:p w14:paraId="0EC6BAD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78FB7391" w14:textId="6C2921EF" w:rsidR="0009502C" w:rsidRPr="00C63FB1" w:rsidRDefault="001B2573" w:rsidP="0009502C">
            <w:pPr>
              <w:rPr>
                <w:rFonts w:ascii="Garamond" w:hAnsi="Garamond"/>
                <w:color w:val="44546A" w:themeColor="text2"/>
                <w:szCs w:val="24"/>
                <w:highlight w:val="yellow"/>
              </w:rPr>
            </w:pPr>
            <w:r w:rsidRPr="001B2573">
              <w:rPr>
                <w:rFonts w:ascii="Arial" w:hAnsi="Arial" w:cs="Arial"/>
                <w:color w:val="000000" w:themeColor="text1"/>
                <w:sz w:val="20"/>
              </w:rPr>
              <w:t>Erin Clark</w:t>
            </w:r>
          </w:p>
        </w:tc>
      </w:tr>
      <w:tr w:rsidR="008F4E85" w:rsidRPr="00480672" w14:paraId="39B779B4" w14:textId="77777777">
        <w:tc>
          <w:tcPr>
            <w:tcW w:w="4428" w:type="dxa"/>
            <w:vAlign w:val="bottom"/>
          </w:tcPr>
          <w:p w14:paraId="0763A6FD" w14:textId="0623858B"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1509F2E2" w14:textId="2303A70C" w:rsidR="008F4E85" w:rsidRPr="00C63FB1" w:rsidRDefault="001B2573" w:rsidP="0009502C">
            <w:pPr>
              <w:rPr>
                <w:rFonts w:ascii="Garamond" w:hAnsi="Garamond"/>
                <w:color w:val="44546A" w:themeColor="text2"/>
                <w:szCs w:val="24"/>
                <w:highlight w:val="yellow"/>
              </w:rPr>
            </w:pPr>
            <w:r w:rsidRPr="001B2573">
              <w:rPr>
                <w:rFonts w:ascii="Arial" w:hAnsi="Arial" w:cs="Arial"/>
                <w:color w:val="000000" w:themeColor="text1"/>
                <w:sz w:val="20"/>
              </w:rPr>
              <w:t>Research Chemist</w:t>
            </w:r>
          </w:p>
        </w:tc>
      </w:tr>
      <w:tr w:rsidR="0009502C" w:rsidRPr="00480672" w14:paraId="116C22A6" w14:textId="77777777">
        <w:tc>
          <w:tcPr>
            <w:tcW w:w="4428" w:type="dxa"/>
            <w:vAlign w:val="bottom"/>
          </w:tcPr>
          <w:p w14:paraId="0D631EFD"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2EA88111" w14:textId="039AAC77" w:rsidR="0009502C" w:rsidRPr="00FE1140" w:rsidRDefault="00FE1140" w:rsidP="0009502C">
            <w:pPr>
              <w:rPr>
                <w:rFonts w:ascii="Arial" w:hAnsi="Arial" w:cs="Arial"/>
                <w:color w:val="44546A" w:themeColor="text2"/>
                <w:sz w:val="20"/>
                <w:szCs w:val="16"/>
                <w:highlight w:val="yellow"/>
              </w:rPr>
            </w:pPr>
            <w:r w:rsidRPr="00FE1140">
              <w:rPr>
                <w:rFonts w:ascii="Arial" w:hAnsi="Arial" w:cs="Arial"/>
                <w:color w:val="000000"/>
                <w:sz w:val="20"/>
                <w:szCs w:val="16"/>
              </w:rPr>
              <w:t>317-390-3155</w:t>
            </w:r>
          </w:p>
        </w:tc>
      </w:tr>
      <w:tr w:rsidR="0009502C" w:rsidRPr="00480672" w14:paraId="1D2A5329" w14:textId="77777777">
        <w:tc>
          <w:tcPr>
            <w:tcW w:w="4428" w:type="dxa"/>
            <w:vAlign w:val="bottom"/>
          </w:tcPr>
          <w:p w14:paraId="7C79F9FE"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6E786E3F" w14:textId="7D834D3D" w:rsidR="0009502C" w:rsidRPr="00FE1140" w:rsidRDefault="00FE1140" w:rsidP="0009502C">
            <w:pPr>
              <w:rPr>
                <w:rFonts w:ascii="Arial" w:hAnsi="Arial" w:cs="Arial"/>
                <w:color w:val="44546A" w:themeColor="text2"/>
                <w:sz w:val="20"/>
                <w:szCs w:val="16"/>
                <w:highlight w:val="yellow"/>
              </w:rPr>
            </w:pPr>
            <w:r w:rsidRPr="00FE1140">
              <w:rPr>
                <w:rFonts w:ascii="Arial" w:hAnsi="Arial" w:cs="Arial"/>
                <w:color w:val="000000"/>
                <w:sz w:val="20"/>
                <w:szCs w:val="16"/>
              </w:rPr>
              <w:t>317-486-2985</w:t>
            </w:r>
          </w:p>
        </w:tc>
      </w:tr>
      <w:tr w:rsidR="0009502C" w:rsidRPr="00480672" w14:paraId="157B4B02" w14:textId="77777777">
        <w:tc>
          <w:tcPr>
            <w:tcW w:w="4428" w:type="dxa"/>
            <w:vAlign w:val="bottom"/>
          </w:tcPr>
          <w:p w14:paraId="7BC51180"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23D51E3" w14:textId="69FD3E41" w:rsidR="0009502C" w:rsidRPr="00FE1140" w:rsidRDefault="009B7037" w:rsidP="0009502C">
            <w:pPr>
              <w:rPr>
                <w:rFonts w:ascii="Arial" w:hAnsi="Arial" w:cs="Arial"/>
                <w:color w:val="44546A" w:themeColor="text2"/>
                <w:sz w:val="20"/>
                <w:szCs w:val="16"/>
                <w:highlight w:val="yellow"/>
              </w:rPr>
            </w:pPr>
            <w:hyperlink r:id="rId13" w:history="1">
              <w:r w:rsidR="00FE1140" w:rsidRPr="00FE1140">
                <w:rPr>
                  <w:rStyle w:val="Hyperlink"/>
                  <w:rFonts w:ascii="Arial" w:hAnsi="Arial" w:cs="Arial"/>
                  <w:sz w:val="20"/>
                  <w:szCs w:val="16"/>
                </w:rPr>
                <w:t>erin.clark@hrglab.com</w:t>
              </w:r>
            </w:hyperlink>
          </w:p>
        </w:tc>
      </w:tr>
      <w:tr w:rsidR="0009502C" w:rsidRPr="00480672" w14:paraId="40836350" w14:textId="77777777">
        <w:tc>
          <w:tcPr>
            <w:tcW w:w="4428" w:type="dxa"/>
            <w:tcBorders>
              <w:bottom w:val="single" w:sz="4" w:space="0" w:color="auto"/>
            </w:tcBorders>
            <w:vAlign w:val="bottom"/>
          </w:tcPr>
          <w:p w14:paraId="35F94187"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36539B8E" w14:textId="012F37ED" w:rsidR="0009502C" w:rsidRPr="00FE1140" w:rsidRDefault="00FE1140" w:rsidP="0009502C">
            <w:pPr>
              <w:rPr>
                <w:rFonts w:ascii="Arial" w:hAnsi="Arial" w:cs="Arial"/>
                <w:color w:val="44546A" w:themeColor="text2"/>
                <w:sz w:val="20"/>
                <w:szCs w:val="16"/>
                <w:highlight w:val="yellow"/>
              </w:rPr>
            </w:pPr>
            <w:r w:rsidRPr="00FE1140">
              <w:rPr>
                <w:rFonts w:ascii="Arial" w:hAnsi="Arial" w:cs="Arial"/>
                <w:color w:val="000000"/>
                <w:sz w:val="20"/>
                <w:szCs w:val="16"/>
              </w:rPr>
              <w:t>Corporate Research</w:t>
            </w:r>
          </w:p>
        </w:tc>
      </w:tr>
      <w:tr w:rsidR="0009502C" w:rsidRPr="00480672" w14:paraId="4D3FC23F" w14:textId="77777777">
        <w:tc>
          <w:tcPr>
            <w:tcW w:w="4428" w:type="dxa"/>
            <w:shd w:val="clear" w:color="auto" w:fill="B3B3B3"/>
            <w:vAlign w:val="bottom"/>
          </w:tcPr>
          <w:p w14:paraId="0B85CDE8"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428" w:type="dxa"/>
            <w:tcBorders>
              <w:bottom w:val="single" w:sz="4" w:space="0" w:color="auto"/>
            </w:tcBorders>
            <w:shd w:val="clear" w:color="auto" w:fill="B3B3B3"/>
          </w:tcPr>
          <w:p w14:paraId="2738E897" w14:textId="77777777" w:rsidR="0009502C" w:rsidRPr="00480672" w:rsidRDefault="0009502C" w:rsidP="0009502C">
            <w:pPr>
              <w:rPr>
                <w:rFonts w:ascii="Garamond" w:hAnsi="Garamond"/>
                <w:szCs w:val="24"/>
              </w:rPr>
            </w:pPr>
          </w:p>
        </w:tc>
      </w:tr>
      <w:tr w:rsidR="0009502C" w:rsidRPr="00480672" w14:paraId="657337DC" w14:textId="77777777">
        <w:tc>
          <w:tcPr>
            <w:tcW w:w="4428" w:type="dxa"/>
            <w:vAlign w:val="bottom"/>
          </w:tcPr>
          <w:p w14:paraId="220BB91D"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36C9594A" w14:textId="512D4557"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 xml:space="preserve">The Trustees of </w:t>
            </w:r>
            <w:r w:rsidR="003C2247" w:rsidRPr="00FC5D7E">
              <w:rPr>
                <w:rFonts w:ascii="Arial" w:hAnsi="Arial" w:cs="Arial"/>
                <w:color w:val="000000" w:themeColor="text1"/>
                <w:sz w:val="20"/>
              </w:rPr>
              <w:t>I</w:t>
            </w:r>
            <w:r w:rsidRPr="00FC5D7E">
              <w:rPr>
                <w:rFonts w:ascii="Arial" w:hAnsi="Arial" w:cs="Arial"/>
                <w:color w:val="000000" w:themeColor="text1"/>
                <w:sz w:val="20"/>
              </w:rPr>
              <w:t>ndiana University</w:t>
            </w:r>
          </w:p>
        </w:tc>
      </w:tr>
      <w:tr w:rsidR="0009502C" w:rsidRPr="00480672" w14:paraId="213B2AB4" w14:textId="77777777">
        <w:tc>
          <w:tcPr>
            <w:tcW w:w="4428" w:type="dxa"/>
            <w:vAlign w:val="bottom"/>
          </w:tcPr>
          <w:p w14:paraId="1032D3CF"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8F45A5C" w14:textId="0D093DE8"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Poplars Building: 400 E 7th St</w:t>
            </w:r>
            <w:r w:rsidR="006C2D57" w:rsidRPr="00FC5D7E">
              <w:rPr>
                <w:rFonts w:ascii="Arial" w:hAnsi="Arial" w:cs="Arial"/>
                <w:color w:val="000000" w:themeColor="text1"/>
                <w:sz w:val="20"/>
              </w:rPr>
              <w:t>.</w:t>
            </w:r>
            <w:r w:rsidRPr="00FC5D7E">
              <w:rPr>
                <w:rFonts w:ascii="Arial" w:hAnsi="Arial" w:cs="Arial"/>
                <w:color w:val="000000" w:themeColor="text1"/>
                <w:sz w:val="20"/>
              </w:rPr>
              <w:t xml:space="preserve"> Room 414</w:t>
            </w:r>
          </w:p>
        </w:tc>
      </w:tr>
      <w:tr w:rsidR="0009502C" w:rsidRPr="00480672" w14:paraId="6FD94ACF" w14:textId="77777777">
        <w:tc>
          <w:tcPr>
            <w:tcW w:w="4428" w:type="dxa"/>
            <w:vAlign w:val="bottom"/>
          </w:tcPr>
          <w:p w14:paraId="75E20677"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B1F0394" w14:textId="43D20102"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Bloomington, IN 47405</w:t>
            </w:r>
          </w:p>
        </w:tc>
      </w:tr>
      <w:tr w:rsidR="0009502C" w:rsidRPr="00480672" w14:paraId="2B3F0E19" w14:textId="77777777">
        <w:tc>
          <w:tcPr>
            <w:tcW w:w="4428" w:type="dxa"/>
            <w:vAlign w:val="bottom"/>
          </w:tcPr>
          <w:p w14:paraId="7E17E5C0"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75D5EF02" w14:textId="07CA5689"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purchasing.iu.edu</w:t>
            </w:r>
          </w:p>
        </w:tc>
      </w:tr>
      <w:tr w:rsidR="0009502C" w:rsidRPr="00480672" w14:paraId="55D8A4E1" w14:textId="77777777">
        <w:tc>
          <w:tcPr>
            <w:tcW w:w="4428" w:type="dxa"/>
            <w:vAlign w:val="bottom"/>
          </w:tcPr>
          <w:p w14:paraId="2D0C9DF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5815C2A2" w14:textId="54652783"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Vanessa Laird</w:t>
            </w:r>
          </w:p>
        </w:tc>
      </w:tr>
      <w:tr w:rsidR="008F4E85" w:rsidRPr="00480672" w14:paraId="0B98643C" w14:textId="77777777">
        <w:tc>
          <w:tcPr>
            <w:tcW w:w="4428" w:type="dxa"/>
            <w:vAlign w:val="bottom"/>
          </w:tcPr>
          <w:p w14:paraId="47D6706C" w14:textId="1BC6E7BC"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08A3B661" w14:textId="58AD1AD4" w:rsidR="008F4E85"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Purchasing Contract Manager</w:t>
            </w:r>
          </w:p>
        </w:tc>
      </w:tr>
      <w:tr w:rsidR="0009502C" w:rsidRPr="00480672" w14:paraId="48B024B5" w14:textId="77777777">
        <w:tc>
          <w:tcPr>
            <w:tcW w:w="4428" w:type="dxa"/>
            <w:vAlign w:val="bottom"/>
          </w:tcPr>
          <w:p w14:paraId="733A3862"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1B91EFFB" w14:textId="79A7E43C"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812-855-0129</w:t>
            </w:r>
          </w:p>
        </w:tc>
      </w:tr>
      <w:tr w:rsidR="0009502C" w:rsidRPr="00480672" w14:paraId="5BF158BD" w14:textId="77777777">
        <w:tc>
          <w:tcPr>
            <w:tcW w:w="4428" w:type="dxa"/>
            <w:vAlign w:val="bottom"/>
          </w:tcPr>
          <w:p w14:paraId="287D1A42"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62651C08" w14:textId="34836A24"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N/A</w:t>
            </w:r>
          </w:p>
        </w:tc>
      </w:tr>
      <w:tr w:rsidR="0009502C" w:rsidRPr="00480672" w14:paraId="4FEF55E9" w14:textId="77777777">
        <w:tc>
          <w:tcPr>
            <w:tcW w:w="4428" w:type="dxa"/>
            <w:vAlign w:val="bottom"/>
          </w:tcPr>
          <w:p w14:paraId="54E631D6"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1E12BD27" w14:textId="6BD3C770" w:rsidR="0009502C" w:rsidRPr="00FC5D7E" w:rsidRDefault="006C2D57" w:rsidP="0009502C">
            <w:pPr>
              <w:rPr>
                <w:rFonts w:ascii="Arial" w:hAnsi="Arial" w:cs="Arial"/>
                <w:color w:val="000000" w:themeColor="text1"/>
                <w:sz w:val="20"/>
              </w:rPr>
            </w:pPr>
            <w:r w:rsidRPr="00FC5D7E">
              <w:rPr>
                <w:rFonts w:ascii="Arial" w:hAnsi="Arial" w:cs="Arial"/>
                <w:color w:val="000000" w:themeColor="text1"/>
                <w:sz w:val="20"/>
              </w:rPr>
              <w:t>vlaird@iu.edu</w:t>
            </w:r>
          </w:p>
        </w:tc>
      </w:tr>
      <w:tr w:rsidR="0009502C" w:rsidRPr="00480672" w14:paraId="1F5444DA" w14:textId="77777777">
        <w:tc>
          <w:tcPr>
            <w:tcW w:w="4428" w:type="dxa"/>
            <w:vAlign w:val="bottom"/>
          </w:tcPr>
          <w:p w14:paraId="2BBFB632"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shd w:val="clear" w:color="auto" w:fill="FFFF99"/>
          </w:tcPr>
          <w:p w14:paraId="74BD5AE0" w14:textId="460B42D3" w:rsidR="0009502C" w:rsidRPr="00FC5D7E" w:rsidRDefault="00AB693E" w:rsidP="0009502C">
            <w:pPr>
              <w:rPr>
                <w:rFonts w:ascii="Arial" w:hAnsi="Arial" w:cs="Arial"/>
                <w:color w:val="000000" w:themeColor="text1"/>
                <w:sz w:val="20"/>
              </w:rPr>
            </w:pPr>
            <w:r w:rsidRPr="00FC5D7E">
              <w:rPr>
                <w:rFonts w:ascii="Arial" w:hAnsi="Arial" w:cs="Arial"/>
                <w:color w:val="000000" w:themeColor="text1"/>
                <w:sz w:val="20"/>
              </w:rPr>
              <w:t>Academia</w:t>
            </w:r>
          </w:p>
        </w:tc>
      </w:tr>
    </w:tbl>
    <w:p w14:paraId="7EE2343C" w14:textId="77777777" w:rsidR="0000708C" w:rsidRPr="00480672" w:rsidRDefault="0000708C" w:rsidP="0000708C">
      <w:pPr>
        <w:widowControl/>
        <w:rPr>
          <w:rFonts w:ascii="Garamond" w:hAnsi="Garamond"/>
          <w:szCs w:val="24"/>
        </w:rPr>
      </w:pPr>
    </w:p>
    <w:p w14:paraId="22AB8117" w14:textId="2C8C6069" w:rsidR="005A0FC8"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05B5744" w14:textId="77777777" w:rsidR="00D17891" w:rsidRPr="00D17891" w:rsidRDefault="00D17891" w:rsidP="004E7F0E">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39BA4D0F" w:rsidR="0009502C" w:rsidRPr="00C02157" w:rsidRDefault="00AD006A" w:rsidP="0009502C">
            <w:pPr>
              <w:rPr>
                <w:rFonts w:ascii="Arial" w:hAnsi="Arial" w:cs="Arial"/>
                <w:sz w:val="20"/>
              </w:rPr>
            </w:pPr>
            <w:r>
              <w:rPr>
                <w:rFonts w:ascii="Arial" w:hAnsi="Arial" w:cs="Arial"/>
                <w:sz w:val="20"/>
              </w:rPr>
              <w:t>Fisher Scientific Company LLC</w:t>
            </w:r>
            <w:r w:rsidR="00C02157" w:rsidRPr="00C02157">
              <w:rPr>
                <w:rFonts w:ascii="Arial" w:hAnsi="Arial" w:cs="Arial"/>
                <w:sz w:val="20"/>
              </w:rPr>
              <w:t xml:space="preserve"> is registered to do business in the State of Indiana, Business ID</w:t>
            </w:r>
            <w:r w:rsidR="00C02157" w:rsidRPr="00AD006A">
              <w:rPr>
                <w:rFonts w:ascii="Arial" w:hAnsi="Arial" w:cs="Arial"/>
                <w:sz w:val="20"/>
              </w:rPr>
              <w:t xml:space="preserve"> </w:t>
            </w:r>
            <w:hyperlink r:id="rId14" w:history="1">
              <w:r w:rsidRPr="00AD006A">
                <w:rPr>
                  <w:rFonts w:ascii="Arial" w:hAnsi="Arial" w:cs="Arial"/>
                  <w:sz w:val="20"/>
                </w:rPr>
                <w:t>1998011112</w:t>
              </w:r>
            </w:hyperlink>
            <w:r w:rsidR="00C02157" w:rsidRPr="00AD006A">
              <w:rPr>
                <w:rFonts w:ascii="Arial" w:hAnsi="Arial" w:cs="Arial"/>
                <w:sz w:val="20"/>
              </w:rPr>
              <w:t>.</w:t>
            </w:r>
          </w:p>
        </w:tc>
      </w:tr>
    </w:tbl>
    <w:p w14:paraId="70D344BA" w14:textId="77777777" w:rsidR="0009502C" w:rsidRPr="00480672" w:rsidRDefault="0009502C" w:rsidP="0009502C">
      <w:pPr>
        <w:rPr>
          <w:rFonts w:ascii="Garamond" w:hAnsi="Garamond"/>
          <w:szCs w:val="24"/>
        </w:rPr>
      </w:pPr>
    </w:p>
    <w:p w14:paraId="5479ECF4" w14:textId="3796B951" w:rsidR="005A0FC8" w:rsidRDefault="0009502C" w:rsidP="00D17891">
      <w:pPr>
        <w:widowControl/>
        <w:numPr>
          <w:ilvl w:val="2"/>
          <w:numId w:val="16"/>
        </w:numPr>
        <w:jc w:val="both"/>
        <w:rPr>
          <w:rFonts w:ascii="Garamond" w:hAnsi="Garamond"/>
          <w:szCs w:val="24"/>
        </w:rPr>
      </w:pPr>
      <w:r w:rsidRPr="00480672">
        <w:rPr>
          <w:rFonts w:ascii="Garamond" w:hAnsi="Garamond"/>
          <w:b/>
          <w:szCs w:val="24"/>
        </w:rPr>
        <w:lastRenderedPageBreak/>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2C501B6A" w14:textId="77777777" w:rsidR="00D17891" w:rsidRPr="00D17891"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67B202DC" w:rsidR="0009502C" w:rsidRPr="002F5657" w:rsidRDefault="002F5657" w:rsidP="0009502C">
            <w:pPr>
              <w:rPr>
                <w:rFonts w:ascii="Arial" w:hAnsi="Arial" w:cs="Arial"/>
                <w:szCs w:val="24"/>
              </w:rPr>
            </w:pPr>
            <w:r w:rsidRPr="002F5657">
              <w:rPr>
                <w:rFonts w:ascii="Arial" w:hAnsi="Arial" w:cs="Arial"/>
                <w:sz w:val="20"/>
                <w:szCs w:val="24"/>
              </w:rPr>
              <w:t xml:space="preserve">Please see attached Signing Resolution. </w:t>
            </w:r>
          </w:p>
        </w:tc>
      </w:tr>
    </w:tbl>
    <w:p w14:paraId="455E7FD3" w14:textId="77777777" w:rsidR="0009502C" w:rsidRPr="00480672" w:rsidRDefault="0009502C" w:rsidP="0009502C">
      <w:pPr>
        <w:rPr>
          <w:rFonts w:ascii="Garamond" w:hAnsi="Garamond"/>
          <w:szCs w:val="24"/>
        </w:rPr>
      </w:pPr>
    </w:p>
    <w:p w14:paraId="555A98DE" w14:textId="135913B2"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proofErr w:type="gramStart"/>
      <w:r w:rsidRPr="00480672">
        <w:rPr>
          <w:rFonts w:ascii="Garamond" w:hAnsi="Garamond"/>
          <w:szCs w:val="24"/>
        </w:rPr>
        <w:t>RFP, and</w:t>
      </w:r>
      <w:proofErr w:type="gramEnd"/>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r w:rsidR="008067A2">
        <w:rPr>
          <w:rFonts w:ascii="Garamond" w:hAnsi="Garamond"/>
          <w:szCs w:val="24"/>
        </w:rPr>
        <w:t xml:space="preserve">  </w:t>
      </w:r>
      <w:r w:rsidRPr="00480672">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24262EA2" w14:textId="1A65A76F" w:rsidR="0009502C" w:rsidRPr="00513258" w:rsidRDefault="00513258" w:rsidP="0009502C">
            <w:pPr>
              <w:rPr>
                <w:rFonts w:ascii="Arial" w:hAnsi="Arial" w:cs="Arial"/>
                <w:sz w:val="20"/>
                <w:szCs w:val="24"/>
              </w:rPr>
            </w:pPr>
            <w:r w:rsidRPr="00513258">
              <w:rPr>
                <w:rFonts w:ascii="Arial" w:hAnsi="Arial" w:cs="Arial"/>
                <w:sz w:val="20"/>
                <w:szCs w:val="24"/>
              </w:rPr>
              <w:t xml:space="preserve">The Fisher Scientific channel does not anticipate the use of subcontractors for this scope of work, with the exception of </w:t>
            </w:r>
            <w:proofErr w:type="gramStart"/>
            <w:r w:rsidRPr="00513258">
              <w:rPr>
                <w:rFonts w:ascii="Arial" w:hAnsi="Arial" w:cs="Arial"/>
                <w:sz w:val="20"/>
                <w:szCs w:val="24"/>
              </w:rPr>
              <w:t>third party</w:t>
            </w:r>
            <w:proofErr w:type="gramEnd"/>
            <w:r w:rsidRPr="00513258">
              <w:rPr>
                <w:rFonts w:ascii="Arial" w:hAnsi="Arial" w:cs="Arial"/>
                <w:sz w:val="20"/>
                <w:szCs w:val="24"/>
              </w:rPr>
              <w:t xml:space="preserve"> freight carriers for certain routes.</w:t>
            </w:r>
          </w:p>
        </w:tc>
      </w:tr>
    </w:tbl>
    <w:p w14:paraId="1B8EFC82" w14:textId="77777777" w:rsidR="00FD5220" w:rsidRPr="00480672" w:rsidRDefault="00FD5220" w:rsidP="00BC332B">
      <w:pPr>
        <w:widowControl/>
        <w:rPr>
          <w:rFonts w:ascii="Garamond" w:hAnsi="Garamond"/>
          <w:szCs w:val="24"/>
        </w:rPr>
      </w:pPr>
    </w:p>
    <w:p w14:paraId="7B4EAEF3" w14:textId="52DD16A7" w:rsidR="006C4F6E" w:rsidRPr="006C4F6E" w:rsidRDefault="006C4F6E" w:rsidP="0045070F">
      <w:pPr>
        <w:widowControl/>
        <w:numPr>
          <w:ilvl w:val="2"/>
          <w:numId w:val="16"/>
        </w:numPr>
        <w:rPr>
          <w:rFonts w:ascii="Garamond" w:hAnsi="Garamond"/>
          <w:b/>
          <w:bCs/>
          <w:szCs w:val="24"/>
        </w:rPr>
      </w:pPr>
      <w:r w:rsidRPr="006C4F6E">
        <w:rPr>
          <w:rFonts w:ascii="Garamond" w:hAnsi="Garamond"/>
          <w:b/>
          <w:bCs/>
          <w:szCs w:val="24"/>
        </w:rPr>
        <w:t>Removed</w:t>
      </w:r>
    </w:p>
    <w:p w14:paraId="06BAEEB2" w14:textId="77777777" w:rsidR="006C4F6E" w:rsidRPr="006C4F6E" w:rsidRDefault="006C4F6E" w:rsidP="006C4F6E">
      <w:pPr>
        <w:widowControl/>
        <w:ind w:left="720"/>
        <w:rPr>
          <w:rFonts w:ascii="Garamond" w:hAnsi="Garamond"/>
          <w:szCs w:val="24"/>
        </w:rPr>
      </w:pPr>
    </w:p>
    <w:p w14:paraId="5779CA10" w14:textId="1028764A"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lastRenderedPageBreak/>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0"/>
        <w:gridCol w:w="4350"/>
      </w:tblGrid>
      <w:tr w:rsidR="00FD5220" w:rsidRPr="00480672" w14:paraId="64265E09" w14:textId="77777777" w:rsidTr="003E057A">
        <w:tc>
          <w:tcPr>
            <w:tcW w:w="4428"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FD5220" w:rsidRPr="00480672" w14:paraId="2CCA2E95" w14:textId="77777777" w:rsidTr="003E057A">
        <w:tc>
          <w:tcPr>
            <w:tcW w:w="4428" w:type="dxa"/>
            <w:vAlign w:val="bottom"/>
          </w:tcPr>
          <w:p w14:paraId="2EF27C40"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7957C31" w14:textId="524CA23D" w:rsidR="00FD5220" w:rsidRPr="006A1F4D" w:rsidRDefault="006A1F4D" w:rsidP="00FD5220">
            <w:pPr>
              <w:rPr>
                <w:rFonts w:ascii="Arial" w:hAnsi="Arial" w:cs="Arial"/>
                <w:sz w:val="20"/>
                <w:szCs w:val="24"/>
              </w:rPr>
            </w:pPr>
            <w:r w:rsidRPr="006A1F4D">
              <w:rPr>
                <w:rFonts w:ascii="Arial" w:hAnsi="Arial" w:cs="Arial"/>
                <w:sz w:val="20"/>
                <w:szCs w:val="24"/>
              </w:rPr>
              <w:t>Fisher Scientific Company LLC</w:t>
            </w:r>
          </w:p>
        </w:tc>
      </w:tr>
      <w:tr w:rsidR="00FD5220" w:rsidRPr="00480672" w14:paraId="1D89970D" w14:textId="77777777" w:rsidTr="003E057A">
        <w:tc>
          <w:tcPr>
            <w:tcW w:w="4428" w:type="dxa"/>
            <w:vAlign w:val="bottom"/>
          </w:tcPr>
          <w:p w14:paraId="6369C83E"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6C33E29D" w14:textId="65336624" w:rsidR="00FD5220" w:rsidRPr="006A1F4D" w:rsidRDefault="00717C56" w:rsidP="00FD5220">
            <w:pPr>
              <w:rPr>
                <w:rFonts w:ascii="Arial" w:hAnsi="Arial" w:cs="Arial"/>
                <w:sz w:val="20"/>
                <w:szCs w:val="24"/>
              </w:rPr>
            </w:pPr>
            <w:r w:rsidRPr="00AA09E0">
              <w:rPr>
                <w:rFonts w:ascii="Arial" w:hAnsi="Arial" w:cs="Arial"/>
                <w:sz w:val="20"/>
                <w:szCs w:val="24"/>
              </w:rPr>
              <w:t>Jim Harris</w:t>
            </w:r>
          </w:p>
        </w:tc>
      </w:tr>
      <w:tr w:rsidR="00FD5220" w:rsidRPr="00480672" w14:paraId="5ED7D81B" w14:textId="77777777" w:rsidTr="003E057A">
        <w:tc>
          <w:tcPr>
            <w:tcW w:w="4428" w:type="dxa"/>
            <w:vAlign w:val="bottom"/>
          </w:tcPr>
          <w:p w14:paraId="4274847F"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0B0BCD83" w14:textId="2DEF7EDA" w:rsidR="00FD5220" w:rsidRPr="006A1F4D" w:rsidRDefault="006A1F4D" w:rsidP="00FD5220">
            <w:pPr>
              <w:rPr>
                <w:rFonts w:ascii="Arial" w:hAnsi="Arial" w:cs="Arial"/>
                <w:sz w:val="20"/>
                <w:szCs w:val="24"/>
              </w:rPr>
            </w:pPr>
            <w:r w:rsidRPr="006A1F4D">
              <w:rPr>
                <w:rFonts w:ascii="Arial" w:hAnsi="Arial" w:cs="Arial"/>
                <w:sz w:val="20"/>
                <w:szCs w:val="24"/>
              </w:rPr>
              <w:t>Region Manager</w:t>
            </w:r>
          </w:p>
        </w:tc>
      </w:tr>
      <w:tr w:rsidR="00FD5220" w:rsidRPr="00480672" w14:paraId="2756851B" w14:textId="77777777" w:rsidTr="003E057A">
        <w:tc>
          <w:tcPr>
            <w:tcW w:w="4428" w:type="dxa"/>
            <w:vAlign w:val="bottom"/>
          </w:tcPr>
          <w:p w14:paraId="198A6285"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CF25291" w14:textId="4C4E5F5F" w:rsidR="00717C56" w:rsidRPr="00717C56" w:rsidRDefault="009B7037" w:rsidP="00FD5220">
            <w:pPr>
              <w:rPr>
                <w:rFonts w:ascii="Arial" w:hAnsi="Arial" w:cs="Arial"/>
                <w:sz w:val="20"/>
              </w:rPr>
            </w:pPr>
            <w:hyperlink r:id="rId15" w:history="1">
              <w:r w:rsidR="00717C56" w:rsidRPr="00AA09E0">
                <w:rPr>
                  <w:rStyle w:val="Hyperlink"/>
                  <w:rFonts w:ascii="Arial" w:hAnsi="Arial" w:cs="Arial"/>
                  <w:sz w:val="20"/>
                </w:rPr>
                <w:t>Jim.Harris@thermofisher.com</w:t>
              </w:r>
            </w:hyperlink>
          </w:p>
        </w:tc>
      </w:tr>
      <w:tr w:rsidR="00FD5220" w:rsidRPr="00480672" w14:paraId="2A926063" w14:textId="77777777" w:rsidTr="003E057A">
        <w:tc>
          <w:tcPr>
            <w:tcW w:w="4428" w:type="dxa"/>
            <w:vAlign w:val="bottom"/>
          </w:tcPr>
          <w:p w14:paraId="3D3D1D2C"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6C94FBF2" w14:textId="524A2E6F" w:rsidR="00FD5220" w:rsidRPr="006A1F4D" w:rsidRDefault="006A1F4D" w:rsidP="00FD5220">
            <w:pPr>
              <w:rPr>
                <w:rFonts w:ascii="Arial" w:hAnsi="Arial" w:cs="Arial"/>
                <w:sz w:val="20"/>
                <w:szCs w:val="24"/>
              </w:rPr>
            </w:pPr>
            <w:r>
              <w:rPr>
                <w:rFonts w:ascii="Arial" w:hAnsi="Arial" w:cs="Arial"/>
                <w:sz w:val="20"/>
                <w:szCs w:val="24"/>
              </w:rPr>
              <w:t>300 Industry Drive</w:t>
            </w:r>
          </w:p>
        </w:tc>
      </w:tr>
      <w:tr w:rsidR="00FD5220" w:rsidRPr="00480672" w14:paraId="14730263" w14:textId="77777777" w:rsidTr="003E057A">
        <w:tc>
          <w:tcPr>
            <w:tcW w:w="4428" w:type="dxa"/>
            <w:vAlign w:val="bottom"/>
          </w:tcPr>
          <w:p w14:paraId="4C8877FA"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2A6F8CA3" w14:textId="3388621F" w:rsidR="00FD5220" w:rsidRPr="006A1F4D" w:rsidRDefault="006A1F4D" w:rsidP="00FD5220">
            <w:pPr>
              <w:rPr>
                <w:rFonts w:ascii="Arial" w:hAnsi="Arial" w:cs="Arial"/>
                <w:sz w:val="20"/>
                <w:szCs w:val="24"/>
              </w:rPr>
            </w:pPr>
            <w:r>
              <w:rPr>
                <w:rFonts w:ascii="Arial" w:hAnsi="Arial" w:cs="Arial"/>
                <w:sz w:val="20"/>
                <w:szCs w:val="24"/>
              </w:rPr>
              <w:t>Pittsburgh, PA  15275</w:t>
            </w:r>
          </w:p>
        </w:tc>
      </w:tr>
      <w:tr w:rsidR="00FD5220" w:rsidRPr="00480672" w14:paraId="1E614278" w14:textId="77777777" w:rsidTr="003E057A">
        <w:tc>
          <w:tcPr>
            <w:tcW w:w="4428" w:type="dxa"/>
            <w:vAlign w:val="bottom"/>
          </w:tcPr>
          <w:p w14:paraId="1B2F5A25"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2A2108A" w14:textId="4A4DD34D" w:rsidR="00FD5220" w:rsidRPr="006A1F4D" w:rsidRDefault="006A1F4D" w:rsidP="00FD5220">
            <w:pPr>
              <w:rPr>
                <w:rFonts w:ascii="Arial" w:hAnsi="Arial" w:cs="Arial"/>
                <w:sz w:val="20"/>
                <w:szCs w:val="24"/>
              </w:rPr>
            </w:pPr>
            <w:r>
              <w:rPr>
                <w:rFonts w:ascii="Arial" w:hAnsi="Arial" w:cs="Arial"/>
                <w:sz w:val="20"/>
                <w:szCs w:val="24"/>
              </w:rPr>
              <w:t>800-766-7000</w:t>
            </w:r>
          </w:p>
        </w:tc>
      </w:tr>
      <w:tr w:rsidR="00FD5220" w:rsidRPr="00480672" w14:paraId="79EE0990" w14:textId="77777777" w:rsidTr="003E057A">
        <w:tc>
          <w:tcPr>
            <w:tcW w:w="4428" w:type="dxa"/>
            <w:vAlign w:val="bottom"/>
          </w:tcPr>
          <w:p w14:paraId="143FC240"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6D0BD4C2" w14:textId="58425587" w:rsidR="00FD5220" w:rsidRPr="006A1F4D" w:rsidRDefault="006A1F4D" w:rsidP="007F1127">
            <w:pPr>
              <w:rPr>
                <w:rFonts w:ascii="Arial" w:hAnsi="Arial" w:cs="Arial"/>
                <w:sz w:val="20"/>
                <w:szCs w:val="24"/>
              </w:rPr>
            </w:pPr>
            <w:r>
              <w:rPr>
                <w:rFonts w:ascii="Arial" w:hAnsi="Arial" w:cs="Arial"/>
                <w:sz w:val="20"/>
                <w:szCs w:val="24"/>
              </w:rPr>
              <w:t>800-926-11</w:t>
            </w:r>
            <w:r w:rsidR="007F1127">
              <w:rPr>
                <w:rFonts w:ascii="Arial" w:hAnsi="Arial" w:cs="Arial"/>
                <w:sz w:val="20"/>
                <w:szCs w:val="24"/>
              </w:rPr>
              <w:t>6</w:t>
            </w:r>
            <w:r>
              <w:rPr>
                <w:rFonts w:ascii="Arial" w:hAnsi="Arial" w:cs="Arial"/>
                <w:sz w:val="20"/>
                <w:szCs w:val="24"/>
              </w:rPr>
              <w:t>6</w:t>
            </w:r>
          </w:p>
        </w:tc>
      </w:tr>
      <w:tr w:rsidR="00FD5220" w:rsidRPr="00480672" w14:paraId="51CDA962" w14:textId="77777777" w:rsidTr="003E057A">
        <w:tc>
          <w:tcPr>
            <w:tcW w:w="4428" w:type="dxa"/>
            <w:vAlign w:val="bottom"/>
          </w:tcPr>
          <w:p w14:paraId="3BF1D984"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326EB3" w14:textId="53A6E507" w:rsidR="00FD5220" w:rsidRPr="006A1F4D" w:rsidRDefault="009B7037" w:rsidP="00FD5220">
            <w:pPr>
              <w:rPr>
                <w:rFonts w:ascii="Arial" w:hAnsi="Arial" w:cs="Arial"/>
                <w:sz w:val="20"/>
                <w:szCs w:val="24"/>
              </w:rPr>
            </w:pPr>
            <w:hyperlink r:id="rId16" w:history="1">
              <w:r w:rsidR="007F1127" w:rsidRPr="00331799">
                <w:rPr>
                  <w:rStyle w:val="Hyperlink"/>
                  <w:rFonts w:ascii="Arial" w:hAnsi="Arial" w:cs="Arial"/>
                  <w:sz w:val="20"/>
                  <w:szCs w:val="24"/>
                </w:rPr>
                <w:t>www.fishersci.com</w:t>
              </w:r>
            </w:hyperlink>
          </w:p>
        </w:tc>
      </w:tr>
      <w:tr w:rsidR="00FD5220" w:rsidRPr="00480672" w14:paraId="5A581B93" w14:textId="77777777" w:rsidTr="003E057A">
        <w:tc>
          <w:tcPr>
            <w:tcW w:w="4428" w:type="dxa"/>
            <w:vAlign w:val="bottom"/>
          </w:tcPr>
          <w:p w14:paraId="59E80511"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35174FAB" w14:textId="3AC1867B" w:rsidR="00FD5220" w:rsidRPr="006A1F4D" w:rsidRDefault="007F1127" w:rsidP="00FD5220">
            <w:pPr>
              <w:rPr>
                <w:rFonts w:ascii="Arial" w:hAnsi="Arial" w:cs="Arial"/>
                <w:sz w:val="20"/>
                <w:szCs w:val="24"/>
              </w:rPr>
            </w:pPr>
            <w:r>
              <w:rPr>
                <w:rFonts w:ascii="Arial" w:hAnsi="Arial" w:cs="Arial"/>
                <w:sz w:val="20"/>
                <w:szCs w:val="24"/>
              </w:rPr>
              <w:t>23-2942737</w:t>
            </w:r>
          </w:p>
        </w:tc>
      </w:tr>
      <w:tr w:rsidR="00FD5220" w:rsidRPr="00480672" w14:paraId="169F9D5E" w14:textId="77777777" w:rsidTr="003E057A">
        <w:tc>
          <w:tcPr>
            <w:tcW w:w="4428" w:type="dxa"/>
            <w:vAlign w:val="bottom"/>
          </w:tcPr>
          <w:p w14:paraId="0126C90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47FB8163" w14:textId="0B212CFF" w:rsidR="00FD5220" w:rsidRPr="006A1F4D" w:rsidRDefault="007F1127" w:rsidP="00FD5220">
            <w:pPr>
              <w:rPr>
                <w:rFonts w:ascii="Arial" w:hAnsi="Arial" w:cs="Arial"/>
                <w:sz w:val="20"/>
                <w:szCs w:val="24"/>
              </w:rPr>
            </w:pPr>
            <w:r>
              <w:rPr>
                <w:rFonts w:ascii="Arial" w:hAnsi="Arial" w:cs="Arial"/>
                <w:sz w:val="20"/>
                <w:szCs w:val="24"/>
              </w:rPr>
              <w:t>5,000</w:t>
            </w:r>
          </w:p>
        </w:tc>
      </w:tr>
      <w:tr w:rsidR="00FD5220" w:rsidRPr="00480672" w14:paraId="640C71B4" w14:textId="77777777" w:rsidTr="003E057A">
        <w:tc>
          <w:tcPr>
            <w:tcW w:w="4428" w:type="dxa"/>
            <w:vAlign w:val="bottom"/>
          </w:tcPr>
          <w:p w14:paraId="0464DB65"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2C4166AB" w14:textId="18A5E5CA" w:rsidR="00FD5220" w:rsidRPr="006A1F4D" w:rsidRDefault="007F1127" w:rsidP="00FD5220">
            <w:pPr>
              <w:rPr>
                <w:rFonts w:ascii="Arial" w:hAnsi="Arial" w:cs="Arial"/>
                <w:sz w:val="20"/>
                <w:szCs w:val="24"/>
              </w:rPr>
            </w:pPr>
            <w:r>
              <w:rPr>
                <w:rFonts w:ascii="Arial" w:hAnsi="Arial" w:cs="Arial"/>
                <w:sz w:val="20"/>
                <w:szCs w:val="24"/>
              </w:rPr>
              <w:t>118</w:t>
            </w:r>
          </w:p>
        </w:tc>
      </w:tr>
      <w:tr w:rsidR="00FD5220" w:rsidRPr="00480672" w14:paraId="58DD072F" w14:textId="77777777" w:rsidTr="003E057A">
        <w:tc>
          <w:tcPr>
            <w:tcW w:w="4428" w:type="dxa"/>
            <w:vAlign w:val="bottom"/>
          </w:tcPr>
          <w:p w14:paraId="4C730073"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72E5117E" w14:textId="61EA85E1" w:rsidR="00FD5220" w:rsidRPr="006A1F4D" w:rsidRDefault="007F1127" w:rsidP="00FD5220">
            <w:pPr>
              <w:rPr>
                <w:rFonts w:ascii="Arial" w:hAnsi="Arial" w:cs="Arial"/>
                <w:sz w:val="20"/>
                <w:szCs w:val="24"/>
              </w:rPr>
            </w:pPr>
            <w:r>
              <w:rPr>
                <w:rFonts w:ascii="Arial" w:hAnsi="Arial" w:cs="Arial"/>
                <w:sz w:val="20"/>
                <w:szCs w:val="24"/>
              </w:rPr>
              <w:t>3 customer service; 10 distribution centers</w:t>
            </w:r>
          </w:p>
        </w:tc>
      </w:tr>
      <w:tr w:rsidR="00FD5220" w:rsidRPr="00480672" w14:paraId="6D85AB49" w14:textId="77777777" w:rsidTr="003E057A">
        <w:tc>
          <w:tcPr>
            <w:tcW w:w="4428" w:type="dxa"/>
            <w:vAlign w:val="bottom"/>
          </w:tcPr>
          <w:p w14:paraId="32696C05"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1161BC68" w14:textId="77777777" w:rsidR="00FD5220" w:rsidRPr="006A1F4D" w:rsidRDefault="00FD5220" w:rsidP="00FD5220">
            <w:pPr>
              <w:rPr>
                <w:rFonts w:ascii="Arial" w:hAnsi="Arial" w:cs="Arial"/>
                <w:sz w:val="20"/>
                <w:szCs w:val="24"/>
              </w:rPr>
            </w:pPr>
          </w:p>
        </w:tc>
      </w:tr>
      <w:tr w:rsidR="00FD5220" w:rsidRPr="00480672" w14:paraId="3D6ED181" w14:textId="77777777" w:rsidTr="003E057A">
        <w:tc>
          <w:tcPr>
            <w:tcW w:w="4428" w:type="dxa"/>
            <w:vAlign w:val="bottom"/>
          </w:tcPr>
          <w:p w14:paraId="3C08F0A1"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E04138D" w14:textId="27D8378E" w:rsidR="00FD5220" w:rsidRPr="006A1F4D" w:rsidRDefault="007F1127" w:rsidP="00FD5220">
            <w:pPr>
              <w:rPr>
                <w:rFonts w:ascii="Arial" w:hAnsi="Arial" w:cs="Arial"/>
                <w:sz w:val="20"/>
                <w:szCs w:val="24"/>
              </w:rPr>
            </w:pPr>
            <w:r>
              <w:rPr>
                <w:rFonts w:ascii="Arial" w:hAnsi="Arial" w:cs="Arial"/>
                <w:sz w:val="20"/>
                <w:szCs w:val="24"/>
              </w:rPr>
              <w:t>Thermo Fisher Scientific Inc.</w:t>
            </w:r>
          </w:p>
        </w:tc>
      </w:tr>
      <w:tr w:rsidR="00FD5220" w:rsidRPr="00480672" w14:paraId="6442E919" w14:textId="77777777" w:rsidTr="003E057A">
        <w:tc>
          <w:tcPr>
            <w:tcW w:w="4428" w:type="dxa"/>
            <w:vAlign w:val="bottom"/>
          </w:tcPr>
          <w:p w14:paraId="5F680E10"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35F0719A" w14:textId="3FBE0CA1" w:rsidR="00FD5220" w:rsidRPr="006A1F4D" w:rsidRDefault="007F1127" w:rsidP="007F1127">
            <w:pPr>
              <w:rPr>
                <w:rFonts w:ascii="Arial" w:hAnsi="Arial" w:cs="Arial"/>
                <w:sz w:val="20"/>
                <w:szCs w:val="24"/>
              </w:rPr>
            </w:pPr>
            <w:r>
              <w:rPr>
                <w:rFonts w:ascii="Arial" w:hAnsi="Arial" w:cs="Arial"/>
                <w:sz w:val="20"/>
                <w:szCs w:val="24"/>
              </w:rPr>
              <w:t xml:space="preserve">$25.5B (2019) </w:t>
            </w:r>
          </w:p>
        </w:tc>
      </w:tr>
      <w:tr w:rsidR="00FD5220" w:rsidRPr="00480672" w14:paraId="34BA39C0" w14:textId="77777777" w:rsidTr="003E057A">
        <w:tc>
          <w:tcPr>
            <w:tcW w:w="4428" w:type="dxa"/>
            <w:vAlign w:val="bottom"/>
          </w:tcPr>
          <w:p w14:paraId="75F56136"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619F3B7E" w14:textId="5377B604" w:rsidR="00FD5220" w:rsidRPr="006A1F4D" w:rsidRDefault="007F1127" w:rsidP="007F1127">
            <w:pPr>
              <w:rPr>
                <w:rFonts w:ascii="Arial" w:hAnsi="Arial" w:cs="Arial"/>
                <w:sz w:val="20"/>
                <w:szCs w:val="24"/>
              </w:rPr>
            </w:pPr>
            <w:r>
              <w:rPr>
                <w:rFonts w:ascii="Arial" w:hAnsi="Arial" w:cs="Arial"/>
                <w:sz w:val="20"/>
                <w:szCs w:val="24"/>
              </w:rPr>
              <w:t>$24.5B (2018)</w:t>
            </w:r>
          </w:p>
        </w:tc>
      </w:tr>
      <w:tr w:rsidR="00FD5220" w:rsidRPr="00480672" w14:paraId="64B901A0" w14:textId="77777777" w:rsidTr="003E057A">
        <w:tc>
          <w:tcPr>
            <w:tcW w:w="4428" w:type="dxa"/>
            <w:vAlign w:val="bottom"/>
          </w:tcPr>
          <w:p w14:paraId="67464095"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0D287910" w14:textId="3A91134A" w:rsidR="00FD5220" w:rsidRPr="006A1F4D" w:rsidRDefault="003D4553" w:rsidP="003D4553">
            <w:pPr>
              <w:rPr>
                <w:rFonts w:ascii="Arial" w:hAnsi="Arial" w:cs="Arial"/>
                <w:sz w:val="20"/>
                <w:szCs w:val="24"/>
              </w:rPr>
            </w:pPr>
            <w:r w:rsidRPr="00BA0925">
              <w:rPr>
                <w:rFonts w:ascii="Arial" w:hAnsi="Arial" w:cs="Arial"/>
                <w:sz w:val="20"/>
                <w:szCs w:val="24"/>
              </w:rPr>
              <w:t>Not Reported</w:t>
            </w: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1F391572" w:rsidR="0000708C" w:rsidRPr="006059D3" w:rsidRDefault="006059D3" w:rsidP="00CA327C">
            <w:pPr>
              <w:rPr>
                <w:rFonts w:ascii="Arial" w:hAnsi="Arial" w:cs="Arial"/>
              </w:rPr>
            </w:pPr>
            <w:r w:rsidRPr="006059D3">
              <w:rPr>
                <w:rFonts w:ascii="Arial" w:hAnsi="Arial" w:cs="Arial"/>
                <w:sz w:val="22"/>
              </w:rPr>
              <w:t>Yes</w:t>
            </w:r>
            <w:r w:rsidR="00986252">
              <w:rPr>
                <w:rFonts w:ascii="Arial" w:hAnsi="Arial" w:cs="Arial"/>
                <w:sz w:val="22"/>
              </w:rPr>
              <w:t>—</w:t>
            </w:r>
            <w:r w:rsidR="00AA09E0" w:rsidRPr="00AA09E0">
              <w:rPr>
                <w:rFonts w:ascii="Arial" w:hAnsi="Arial" w:cs="Arial"/>
                <w:sz w:val="22"/>
              </w:rPr>
              <w:t>Please see attached Business Continuity Letter.</w:t>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2A2F3E91" w14:textId="77777777" w:rsidR="00365B5E" w:rsidRPr="00365B5E" w:rsidRDefault="00365B5E" w:rsidP="00365B5E">
            <w:pPr>
              <w:widowControl/>
              <w:autoSpaceDE w:val="0"/>
              <w:autoSpaceDN w:val="0"/>
              <w:adjustRightInd w:val="0"/>
              <w:rPr>
                <w:rFonts w:ascii="Arial" w:hAnsi="Arial" w:cs="Arial"/>
                <w:snapToGrid/>
                <w:color w:val="000000"/>
                <w:sz w:val="14"/>
                <w:szCs w:val="24"/>
              </w:rPr>
            </w:pPr>
          </w:p>
          <w:p w14:paraId="71801CD6" w14:textId="77777777" w:rsidR="00365B5E" w:rsidRDefault="00365B5E" w:rsidP="00365B5E">
            <w:pPr>
              <w:widowControl/>
              <w:autoSpaceDE w:val="0"/>
              <w:autoSpaceDN w:val="0"/>
              <w:adjustRightInd w:val="0"/>
              <w:rPr>
                <w:rFonts w:ascii="Arial" w:hAnsi="Arial" w:cs="Arial"/>
                <w:snapToGrid/>
                <w:sz w:val="20"/>
                <w:szCs w:val="30"/>
              </w:rPr>
            </w:pPr>
            <w:r w:rsidRPr="00365B5E">
              <w:rPr>
                <w:rFonts w:ascii="Arial" w:hAnsi="Arial" w:cs="Arial"/>
                <w:snapToGrid/>
                <w:sz w:val="20"/>
                <w:szCs w:val="30"/>
              </w:rPr>
              <w:t>Thermo Fisher Scientific safeguards the confidentiality, integrity, and availability of data and systems within the company’s environment through our robust Corporate Information Security (CIS) Program led by a dedicated Chief Information Security Officer (CISO).</w:t>
            </w:r>
          </w:p>
          <w:p w14:paraId="4ABCAB4C" w14:textId="77777777" w:rsidR="00365B5E" w:rsidRPr="00365B5E" w:rsidRDefault="00365B5E" w:rsidP="00365B5E">
            <w:pPr>
              <w:widowControl/>
              <w:autoSpaceDE w:val="0"/>
              <w:autoSpaceDN w:val="0"/>
              <w:adjustRightInd w:val="0"/>
              <w:rPr>
                <w:rFonts w:ascii="Arial" w:hAnsi="Arial" w:cs="Arial"/>
                <w:snapToGrid/>
                <w:sz w:val="20"/>
                <w:szCs w:val="30"/>
              </w:rPr>
            </w:pPr>
          </w:p>
          <w:p w14:paraId="5ADF279D" w14:textId="77777777" w:rsidR="00365B5E" w:rsidRDefault="00365B5E" w:rsidP="00365B5E">
            <w:pPr>
              <w:widowControl/>
              <w:autoSpaceDE w:val="0"/>
              <w:autoSpaceDN w:val="0"/>
              <w:adjustRightInd w:val="0"/>
              <w:rPr>
                <w:rFonts w:ascii="Arial" w:hAnsi="Arial" w:cs="Arial"/>
                <w:snapToGrid/>
                <w:sz w:val="20"/>
                <w:szCs w:val="30"/>
              </w:rPr>
            </w:pPr>
            <w:r w:rsidRPr="00365B5E">
              <w:rPr>
                <w:rFonts w:ascii="Arial" w:hAnsi="Arial" w:cs="Arial"/>
                <w:snapToGrid/>
                <w:sz w:val="20"/>
                <w:szCs w:val="30"/>
              </w:rPr>
              <w:t xml:space="preserve">Thermo Fisher supports a continuously improving security program that reduces risk, responds to threats, and protects our company’s intellectual property and the privacy of data while driving compliance with regulatory requirements and industry best practices. Committed to scientific advancement, we employ the latest security tools and offer solutions that enable our customers to push the boundaries of innovation. </w:t>
            </w:r>
          </w:p>
          <w:p w14:paraId="43045EB2" w14:textId="77777777" w:rsidR="00365B5E" w:rsidRPr="00365B5E" w:rsidRDefault="00365B5E" w:rsidP="00365B5E">
            <w:pPr>
              <w:widowControl/>
              <w:autoSpaceDE w:val="0"/>
              <w:autoSpaceDN w:val="0"/>
              <w:adjustRightInd w:val="0"/>
              <w:rPr>
                <w:rFonts w:ascii="Arial" w:hAnsi="Arial" w:cs="Arial"/>
                <w:snapToGrid/>
                <w:sz w:val="20"/>
                <w:szCs w:val="30"/>
              </w:rPr>
            </w:pPr>
          </w:p>
          <w:p w14:paraId="3DFFA533" w14:textId="77777777" w:rsidR="00365B5E" w:rsidRDefault="00365B5E" w:rsidP="00365B5E">
            <w:pPr>
              <w:widowControl/>
              <w:autoSpaceDE w:val="0"/>
              <w:autoSpaceDN w:val="0"/>
              <w:adjustRightInd w:val="0"/>
              <w:rPr>
                <w:rFonts w:ascii="Arial" w:hAnsi="Arial" w:cs="Arial"/>
                <w:snapToGrid/>
                <w:sz w:val="20"/>
                <w:szCs w:val="30"/>
              </w:rPr>
            </w:pPr>
            <w:r w:rsidRPr="00365B5E">
              <w:rPr>
                <w:rFonts w:ascii="Arial" w:hAnsi="Arial" w:cs="Arial"/>
                <w:snapToGrid/>
                <w:sz w:val="20"/>
                <w:szCs w:val="30"/>
              </w:rPr>
              <w:t>As the world leader in serving science, our security professionals provide prevention, monitoring, detection, and response capabilities, so we can more quickly identify and act on ever-evolving global threats.</w:t>
            </w:r>
          </w:p>
          <w:p w14:paraId="19B1B592" w14:textId="77777777" w:rsidR="00365B5E" w:rsidRPr="00365B5E" w:rsidRDefault="00365B5E" w:rsidP="00365B5E">
            <w:pPr>
              <w:widowControl/>
              <w:autoSpaceDE w:val="0"/>
              <w:autoSpaceDN w:val="0"/>
              <w:adjustRightInd w:val="0"/>
              <w:rPr>
                <w:rFonts w:ascii="Arial" w:hAnsi="Arial" w:cs="Arial"/>
                <w:snapToGrid/>
                <w:sz w:val="20"/>
                <w:szCs w:val="30"/>
              </w:rPr>
            </w:pPr>
          </w:p>
          <w:p w14:paraId="13717656" w14:textId="7D2E6876" w:rsidR="00365B5E" w:rsidRDefault="00365B5E" w:rsidP="00365B5E">
            <w:pPr>
              <w:widowControl/>
              <w:autoSpaceDE w:val="0"/>
              <w:autoSpaceDN w:val="0"/>
              <w:adjustRightInd w:val="0"/>
              <w:rPr>
                <w:rFonts w:ascii="Arial" w:hAnsi="Arial" w:cs="Arial"/>
                <w:snapToGrid/>
                <w:sz w:val="20"/>
                <w:szCs w:val="30"/>
              </w:rPr>
            </w:pPr>
            <w:r w:rsidRPr="00365B5E">
              <w:rPr>
                <w:rFonts w:ascii="Arial" w:hAnsi="Arial" w:cs="Arial"/>
                <w:snapToGrid/>
                <w:sz w:val="20"/>
                <w:szCs w:val="30"/>
              </w:rPr>
              <w:lastRenderedPageBreak/>
              <w:t>Thermo Fisher has implemented standards and policies to help protect data from unauthorized access in our Connect platform. This document</w:t>
            </w:r>
            <w:r>
              <w:rPr>
                <w:rFonts w:ascii="Arial" w:hAnsi="Arial" w:cs="Arial"/>
                <w:snapToGrid/>
                <w:sz w:val="20"/>
                <w:szCs w:val="30"/>
              </w:rPr>
              <w:t xml:space="preserve"> (available at the link on the page linked below)</w:t>
            </w:r>
            <w:r w:rsidRPr="00365B5E">
              <w:rPr>
                <w:rFonts w:ascii="Arial" w:hAnsi="Arial" w:cs="Arial"/>
                <w:snapToGrid/>
                <w:sz w:val="20"/>
                <w:szCs w:val="30"/>
              </w:rPr>
              <w:t xml:space="preserve"> describes the various standards, controls, data security approaches, business practices, and certifications used for the cloud-based storage that supports Connect. </w:t>
            </w:r>
          </w:p>
          <w:p w14:paraId="518F72E3" w14:textId="77777777" w:rsidR="00365B5E" w:rsidRPr="00365B5E" w:rsidRDefault="00365B5E" w:rsidP="00365B5E">
            <w:pPr>
              <w:widowControl/>
              <w:autoSpaceDE w:val="0"/>
              <w:autoSpaceDN w:val="0"/>
              <w:adjustRightInd w:val="0"/>
              <w:rPr>
                <w:rFonts w:ascii="Arial" w:hAnsi="Arial" w:cs="Arial"/>
                <w:snapToGrid/>
                <w:sz w:val="20"/>
                <w:szCs w:val="30"/>
              </w:rPr>
            </w:pPr>
          </w:p>
          <w:p w14:paraId="2E7ACD31" w14:textId="13BD5FB1" w:rsidR="00365B5E" w:rsidRDefault="009B7037" w:rsidP="00365B5E">
            <w:pPr>
              <w:rPr>
                <w:rFonts w:ascii="Arial" w:hAnsi="Arial" w:cs="Arial"/>
                <w:snapToGrid/>
                <w:sz w:val="20"/>
                <w:szCs w:val="30"/>
              </w:rPr>
            </w:pPr>
            <w:hyperlink r:id="rId17" w:history="1">
              <w:r w:rsidR="00365B5E" w:rsidRPr="00331799">
                <w:rPr>
                  <w:rStyle w:val="Hyperlink"/>
                  <w:rFonts w:ascii="Arial" w:hAnsi="Arial" w:cs="Arial"/>
                  <w:snapToGrid/>
                  <w:sz w:val="20"/>
                  <w:szCs w:val="30"/>
                </w:rPr>
                <w:t>https://corporate.thermofisher.com/en/security.html</w:t>
              </w:r>
            </w:hyperlink>
          </w:p>
          <w:p w14:paraId="6CCBFCB4" w14:textId="073747EF" w:rsidR="00365B5E" w:rsidRPr="00463EA8" w:rsidRDefault="00365B5E" w:rsidP="00365B5E">
            <w:pPr>
              <w:rPr>
                <w:rFonts w:ascii="Garamond" w:hAnsi="Garamond" w:cs="Calibri"/>
                <w:b/>
              </w:rPr>
            </w:pP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3EDDA12A" w14:textId="725F1312" w:rsidR="0009502C" w:rsidRPr="00480672" w:rsidRDefault="008A0809" w:rsidP="0009502C">
            <w:pPr>
              <w:rPr>
                <w:rFonts w:ascii="Garamond" w:hAnsi="Garamond"/>
                <w:szCs w:val="24"/>
              </w:rPr>
            </w:pPr>
            <w:r>
              <w:rPr>
                <w:rFonts w:ascii="Arial" w:hAnsi="Arial" w:cs="Arial"/>
                <w:color w:val="000000"/>
                <w:sz w:val="20"/>
              </w:rPr>
              <w:t xml:space="preserve">The </w:t>
            </w:r>
            <w:r w:rsidRPr="006A1F27">
              <w:rPr>
                <w:rFonts w:ascii="Arial" w:hAnsi="Arial" w:cs="Arial"/>
                <w:color w:val="000000"/>
                <w:sz w:val="20"/>
              </w:rPr>
              <w:t xml:space="preserve">Fisher </w:t>
            </w:r>
            <w:r>
              <w:rPr>
                <w:rFonts w:ascii="Arial" w:hAnsi="Arial" w:cs="Arial"/>
                <w:color w:val="000000"/>
                <w:sz w:val="20"/>
              </w:rPr>
              <w:t xml:space="preserve">Scientific channel </w:t>
            </w:r>
            <w:r w:rsidRPr="006A1F27">
              <w:rPr>
                <w:rFonts w:ascii="Arial" w:hAnsi="Arial" w:cs="Arial"/>
                <w:color w:val="000000"/>
                <w:sz w:val="20"/>
              </w:rPr>
              <w:t xml:space="preserve">has a long history of working with state, federal, and local government entities, as well as affiliated academic and research institutions. </w:t>
            </w:r>
            <w:r w:rsidRPr="00194FEB">
              <w:rPr>
                <w:rFonts w:ascii="Arial" w:hAnsi="Arial" w:cs="Arial"/>
                <w:sz w:val="20"/>
                <w:szCs w:val="16"/>
              </w:rPr>
              <w:t>Currently, the Fisher Scientific channel has or have held Contracts with government agencies, political subdivisions and other entities of every State, including the Commonwealth of Puerto Rico and US Territories and we currently hold numerous stand-alone contracts with the Federal Government.</w:t>
            </w: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1C8E5EF6" w14:textId="77777777" w:rsidR="004217C4" w:rsidRDefault="003B2174" w:rsidP="003B2174">
            <w:pPr>
              <w:rPr>
                <w:rFonts w:ascii="Arial" w:hAnsi="Arial" w:cs="Arial"/>
                <w:color w:val="000000" w:themeColor="text1"/>
                <w:sz w:val="20"/>
              </w:rPr>
            </w:pPr>
            <w:r>
              <w:rPr>
                <w:rFonts w:ascii="Arial" w:hAnsi="Arial" w:cs="Arial"/>
                <w:color w:val="000000"/>
                <w:sz w:val="20"/>
              </w:rPr>
              <w:t>In business since 1902, the Fisher Scientific channel has considerable experience serving customers of all types, industries, and sizes, including those of a similar size and scope to the State of Indiana.  Currently, we serve over 400,000 customers worldwide</w:t>
            </w:r>
            <w:r w:rsidRPr="00000D7A">
              <w:rPr>
                <w:rFonts w:ascii="Arial" w:hAnsi="Arial" w:cs="Arial"/>
                <w:color w:val="000000" w:themeColor="text1"/>
                <w:sz w:val="20"/>
              </w:rPr>
              <w:t>.  Detailed references can be provided upon request.</w:t>
            </w:r>
          </w:p>
          <w:p w14:paraId="505A41F2" w14:textId="511B3A09" w:rsidR="00000D7A" w:rsidRPr="00480672" w:rsidRDefault="00000D7A" w:rsidP="003B2174">
            <w:pPr>
              <w:rPr>
                <w:rFonts w:ascii="Garamond" w:hAnsi="Garamond"/>
                <w:szCs w:val="24"/>
              </w:rPr>
            </w:pP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5F7C1C49" w14:textId="0CEBB983" w:rsidR="00FD5220" w:rsidRPr="00480672" w:rsidRDefault="00FD5220" w:rsidP="00BC332B">
      <w:pPr>
        <w:widowControl/>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54214082"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 xml:space="preserve">Refer to </w:t>
      </w:r>
      <w:r w:rsidR="00130552">
        <w:rPr>
          <w:rFonts w:ascii="Garamond" w:hAnsi="Garamond"/>
          <w:szCs w:val="24"/>
        </w:rPr>
        <w:t xml:space="preserve">RFP </w:t>
      </w:r>
      <w:r w:rsidRPr="00480672">
        <w:rPr>
          <w:rFonts w:ascii="Garamond" w:hAnsi="Garamond"/>
          <w:szCs w:val="24"/>
        </w:rPr>
        <w:t>Section 2.7 for additional information.</w:t>
      </w:r>
    </w:p>
    <w:p w14:paraId="59B9CA00" w14:textId="3FBC7745" w:rsidR="00FD5220" w:rsidRDefault="00FD5220" w:rsidP="00FD5220">
      <w:pPr>
        <w:widowControl/>
        <w:tabs>
          <w:tab w:val="left" w:pos="360"/>
        </w:tabs>
        <w:jc w:val="both"/>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1170F" w:rsidRPr="00480672" w14:paraId="384D4945" w14:textId="77777777" w:rsidTr="0011170F">
        <w:tc>
          <w:tcPr>
            <w:tcW w:w="8630" w:type="dxa"/>
            <w:shd w:val="clear" w:color="auto" w:fill="FFFF99"/>
          </w:tcPr>
          <w:p w14:paraId="55EB2091" w14:textId="2BC5FC86" w:rsidR="0011170F" w:rsidRPr="003B2174" w:rsidRDefault="008B59D8" w:rsidP="00420E1F">
            <w:pPr>
              <w:rPr>
                <w:rFonts w:ascii="Arial" w:hAnsi="Arial" w:cs="Arial"/>
                <w:szCs w:val="24"/>
              </w:rPr>
            </w:pPr>
            <w:r w:rsidRPr="00E40335">
              <w:rPr>
                <w:rFonts w:ascii="Arial" w:hAnsi="Arial" w:cs="Arial"/>
                <w:color w:val="000000" w:themeColor="text1"/>
                <w:sz w:val="20"/>
                <w:szCs w:val="24"/>
              </w:rPr>
              <w:t xml:space="preserve">By </w:t>
            </w:r>
            <w:r w:rsidR="00E40335">
              <w:rPr>
                <w:rFonts w:ascii="Arial" w:hAnsi="Arial" w:cs="Arial"/>
                <w:color w:val="000000" w:themeColor="text1"/>
                <w:sz w:val="20"/>
                <w:szCs w:val="24"/>
              </w:rPr>
              <w:t xml:space="preserve">the </w:t>
            </w:r>
            <w:r w:rsidRPr="00E40335">
              <w:rPr>
                <w:rFonts w:ascii="Arial" w:hAnsi="Arial" w:cs="Arial"/>
                <w:color w:val="000000" w:themeColor="text1"/>
                <w:sz w:val="20"/>
                <w:szCs w:val="24"/>
              </w:rPr>
              <w:t xml:space="preserve">definition </w:t>
            </w:r>
            <w:r w:rsidR="00717C56" w:rsidRPr="00E40335">
              <w:rPr>
                <w:rFonts w:ascii="Arial" w:hAnsi="Arial" w:cs="Arial"/>
                <w:color w:val="000000" w:themeColor="text1"/>
                <w:sz w:val="20"/>
                <w:szCs w:val="24"/>
              </w:rPr>
              <w:t xml:space="preserve">set forth by the State, </w:t>
            </w:r>
            <w:r w:rsidR="00D5526A" w:rsidRPr="00E40335">
              <w:rPr>
                <w:rFonts w:ascii="Arial" w:hAnsi="Arial" w:cs="Arial"/>
                <w:color w:val="000000" w:themeColor="text1"/>
                <w:sz w:val="20"/>
                <w:szCs w:val="24"/>
              </w:rPr>
              <w:t xml:space="preserve">Thermo Fisher Scientific </w:t>
            </w:r>
            <w:r w:rsidR="003344A2" w:rsidRPr="00E40335">
              <w:rPr>
                <w:rFonts w:ascii="Arial" w:hAnsi="Arial" w:cs="Arial"/>
                <w:color w:val="000000" w:themeColor="text1"/>
                <w:sz w:val="20"/>
                <w:szCs w:val="24"/>
              </w:rPr>
              <w:t xml:space="preserve">does not qualify as </w:t>
            </w:r>
            <w:r w:rsidRPr="00E40335">
              <w:rPr>
                <w:rFonts w:ascii="Arial" w:hAnsi="Arial" w:cs="Arial"/>
                <w:color w:val="000000" w:themeColor="text1"/>
                <w:sz w:val="20"/>
                <w:szCs w:val="24"/>
              </w:rPr>
              <w:t>an Indiana Business and therefore will not be claiming a preference or requesting eligibility for Buy Indiana points.</w:t>
            </w:r>
          </w:p>
        </w:tc>
      </w:tr>
    </w:tbl>
    <w:p w14:paraId="3C385F78" w14:textId="77777777" w:rsidR="0011170F" w:rsidRPr="00480672" w:rsidRDefault="0011170F" w:rsidP="00FD5220">
      <w:pPr>
        <w:widowControl/>
        <w:tabs>
          <w:tab w:val="left" w:pos="360"/>
        </w:tabs>
        <w:jc w:val="both"/>
        <w:rPr>
          <w:rFonts w:ascii="Garamond" w:hAnsi="Garamond"/>
          <w:b/>
          <w:szCs w:val="24"/>
        </w:rPr>
      </w:pPr>
    </w:p>
    <w:p w14:paraId="478748BA" w14:textId="77777777" w:rsidR="00F655C2" w:rsidRPr="00480672" w:rsidRDefault="00FD5220" w:rsidP="00F655C2">
      <w:pPr>
        <w:widowControl/>
        <w:numPr>
          <w:ilvl w:val="2"/>
          <w:numId w:val="16"/>
        </w:numPr>
        <w:tabs>
          <w:tab w:val="left" w:pos="360"/>
        </w:tabs>
        <w:jc w:val="both"/>
        <w:rPr>
          <w:rFonts w:ascii="Garamond" w:hAnsi="Garamond"/>
          <w:szCs w:val="24"/>
        </w:rPr>
      </w:pPr>
      <w:r w:rsidRPr="00480672">
        <w:rPr>
          <w:rFonts w:ascii="Garamond" w:hAnsi="Garamond"/>
          <w:b/>
          <w:szCs w:val="24"/>
        </w:rPr>
        <w:t xml:space="preserve">Payment - </w:t>
      </w:r>
      <w:r w:rsidRPr="00480672">
        <w:rPr>
          <w:rFonts w:ascii="Garamond" w:hAnsi="Garamond"/>
          <w:szCs w:val="24"/>
        </w:rPr>
        <w:t>Please provide the requested information in RFP Section 2.3.15.</w:t>
      </w:r>
    </w:p>
    <w:p w14:paraId="2BFDE289" w14:textId="77777777" w:rsidR="005A0FC8" w:rsidRPr="00480672" w:rsidRDefault="005A0FC8" w:rsidP="005A0FC8">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480672" w14:paraId="000C41AE" w14:textId="77777777" w:rsidTr="004009A6">
        <w:tc>
          <w:tcPr>
            <w:tcW w:w="8856" w:type="dxa"/>
            <w:shd w:val="clear" w:color="auto" w:fill="FFFF99"/>
          </w:tcPr>
          <w:p w14:paraId="45E868E0" w14:textId="007C6006" w:rsidR="00F655C2" w:rsidRPr="00717C56" w:rsidRDefault="00175D12" w:rsidP="00175D12">
            <w:pPr>
              <w:pStyle w:val="BodyTextIndent3"/>
              <w:tabs>
                <w:tab w:val="left" w:pos="3600"/>
              </w:tabs>
              <w:ind w:left="0"/>
              <w:rPr>
                <w:rFonts w:ascii="Garamond" w:hAnsi="Garamond"/>
                <w:color w:val="44546A" w:themeColor="text2"/>
                <w:szCs w:val="24"/>
              </w:rPr>
            </w:pPr>
            <w:r>
              <w:rPr>
                <w:rFonts w:ascii="Arial" w:hAnsi="Arial" w:cs="Arial"/>
                <w:sz w:val="20"/>
              </w:rPr>
              <w:t xml:space="preserve">The </w:t>
            </w:r>
            <w:r w:rsidRPr="00D06162">
              <w:rPr>
                <w:rFonts w:ascii="Arial" w:hAnsi="Arial" w:cs="Arial"/>
                <w:sz w:val="20"/>
              </w:rPr>
              <w:t xml:space="preserve">Fisher Scientific </w:t>
            </w:r>
            <w:r>
              <w:rPr>
                <w:rFonts w:ascii="Arial" w:hAnsi="Arial" w:cs="Arial"/>
                <w:sz w:val="20"/>
              </w:rPr>
              <w:t xml:space="preserve">channel </w:t>
            </w:r>
            <w:r w:rsidRPr="00D06162">
              <w:rPr>
                <w:rFonts w:ascii="Arial" w:hAnsi="Arial" w:cs="Arial"/>
                <w:sz w:val="20"/>
              </w:rPr>
              <w:t>accepts American Express, Visa, and MasterCard procurement card orders</w:t>
            </w:r>
            <w:r>
              <w:rPr>
                <w:rFonts w:ascii="Arial" w:hAnsi="Arial" w:cs="Arial"/>
                <w:sz w:val="20"/>
              </w:rPr>
              <w:t xml:space="preserve"> as well as other forms of payment</w:t>
            </w:r>
            <w:r w:rsidRPr="00D06162">
              <w:rPr>
                <w:rFonts w:ascii="Arial" w:hAnsi="Arial" w:cs="Arial"/>
                <w:sz w:val="20"/>
              </w:rPr>
              <w:t xml:space="preserve">.  Pro-card orders can be utilized in various purchasing methods with </w:t>
            </w:r>
            <w:r>
              <w:rPr>
                <w:rFonts w:ascii="Arial" w:hAnsi="Arial" w:cs="Arial"/>
                <w:sz w:val="20"/>
              </w:rPr>
              <w:t xml:space="preserve">the </w:t>
            </w:r>
            <w:r w:rsidRPr="00D06162">
              <w:rPr>
                <w:rFonts w:ascii="Arial" w:hAnsi="Arial" w:cs="Arial"/>
                <w:sz w:val="20"/>
              </w:rPr>
              <w:t>Fisher</w:t>
            </w:r>
            <w:r>
              <w:rPr>
                <w:rFonts w:ascii="Arial" w:hAnsi="Arial" w:cs="Arial"/>
                <w:sz w:val="20"/>
              </w:rPr>
              <w:t xml:space="preserve"> Scientific </w:t>
            </w:r>
            <w:proofErr w:type="gramStart"/>
            <w:r>
              <w:rPr>
                <w:rFonts w:ascii="Arial" w:hAnsi="Arial" w:cs="Arial"/>
                <w:sz w:val="20"/>
              </w:rPr>
              <w:t>channel, but</w:t>
            </w:r>
            <w:proofErr w:type="gramEnd"/>
            <w:r>
              <w:rPr>
                <w:rFonts w:ascii="Arial" w:hAnsi="Arial" w:cs="Arial"/>
                <w:sz w:val="20"/>
              </w:rPr>
              <w:t xml:space="preserve"> can only be accepted at the point of sale</w:t>
            </w:r>
            <w:r w:rsidRPr="00D06162">
              <w:rPr>
                <w:rFonts w:ascii="Arial" w:hAnsi="Arial" w:cs="Arial"/>
                <w:sz w:val="20"/>
              </w:rPr>
              <w:t>.</w:t>
            </w:r>
            <w:r w:rsidR="00C301A0">
              <w:rPr>
                <w:rFonts w:ascii="Arial" w:hAnsi="Arial" w:cs="Arial"/>
                <w:sz w:val="20"/>
              </w:rPr>
              <w:t xml:space="preserve"> </w:t>
            </w:r>
            <w:r w:rsidR="00C301A0" w:rsidRPr="00C301A0">
              <w:rPr>
                <w:rFonts w:ascii="Arial" w:hAnsi="Arial" w:cs="Arial"/>
                <w:color w:val="FF0000"/>
                <w:sz w:val="20"/>
              </w:rPr>
              <w:t xml:space="preserve"> </w:t>
            </w:r>
            <w:r w:rsidR="00685884" w:rsidRPr="00FC5D7E">
              <w:rPr>
                <w:rFonts w:ascii="Arial" w:hAnsi="Arial" w:cs="Arial"/>
                <w:sz w:val="20"/>
              </w:rPr>
              <w:t>We cannot pay the user’s credit card handling fees.</w:t>
            </w:r>
          </w:p>
        </w:tc>
      </w:tr>
    </w:tbl>
    <w:p w14:paraId="71405DB1" w14:textId="77777777" w:rsidR="00F655C2" w:rsidRPr="00480672" w:rsidRDefault="00F655C2" w:rsidP="006A6830">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A2DD2" w14:textId="77777777" w:rsidR="002C2E33" w:rsidRDefault="002C2E33" w:rsidP="004D1FA6">
      <w:r>
        <w:separator/>
      </w:r>
    </w:p>
  </w:endnote>
  <w:endnote w:type="continuationSeparator" w:id="0">
    <w:p w14:paraId="7A7906DE" w14:textId="77777777" w:rsidR="002C2E33" w:rsidRDefault="002C2E33" w:rsidP="004D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W1G 55 Roman">
    <w:altName w:val="HelveticaNeueLT W1G 55 Roman"/>
    <w:panose1 w:val="00000000000000000000"/>
    <w:charset w:val="00"/>
    <w:family w:val="roman"/>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5665F" w14:textId="77777777" w:rsidR="002C2E33" w:rsidRDefault="002C2E33" w:rsidP="004D1FA6">
      <w:r>
        <w:separator/>
      </w:r>
    </w:p>
  </w:footnote>
  <w:footnote w:type="continuationSeparator" w:id="0">
    <w:p w14:paraId="05C017A7" w14:textId="77777777" w:rsidR="002C2E33" w:rsidRDefault="002C2E33" w:rsidP="004D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59470DC"/>
    <w:multiLevelType w:val="hybridMultilevel"/>
    <w:tmpl w:val="7BD62FD2"/>
    <w:lvl w:ilvl="0" w:tplc="9CA263C8">
      <w:start w:val="1"/>
      <w:numFmt w:val="bullet"/>
      <w:lvlText w:val=""/>
      <w:lvlJc w:val="left"/>
      <w:pPr>
        <w:tabs>
          <w:tab w:val="num" w:pos="4320"/>
        </w:tabs>
        <w:ind w:left="4320" w:hanging="360"/>
      </w:pPr>
      <w:rPr>
        <w:rFonts w:ascii="Symbol" w:hAnsi="Symbol" w:hint="default"/>
        <w:color w:val="000000"/>
      </w:rPr>
    </w:lvl>
    <w:lvl w:ilvl="1" w:tplc="0409000B">
      <w:start w:val="1"/>
      <w:numFmt w:val="bullet"/>
      <w:lvlText w:val=""/>
      <w:lvlJc w:val="left"/>
      <w:pPr>
        <w:tabs>
          <w:tab w:val="num" w:pos="5040"/>
        </w:tabs>
        <w:ind w:left="5040" w:hanging="360"/>
      </w:pPr>
      <w:rPr>
        <w:rFonts w:ascii="Wingdings" w:hAnsi="Wingdings" w:hint="default"/>
      </w:rPr>
    </w:lvl>
    <w:lvl w:ilvl="2" w:tplc="04090005">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C005BEA"/>
    <w:multiLevelType w:val="hybridMultilevel"/>
    <w:tmpl w:val="7AD84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1"/>
  </w:num>
  <w:num w:numId="9">
    <w:abstractNumId w:val="17"/>
  </w:num>
  <w:num w:numId="10">
    <w:abstractNumId w:val="1"/>
  </w:num>
  <w:num w:numId="11">
    <w:abstractNumId w:val="0"/>
  </w:num>
  <w:num w:numId="12">
    <w:abstractNumId w:val="15"/>
  </w:num>
  <w:num w:numId="13">
    <w:abstractNumId w:val="20"/>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D7A"/>
    <w:rsid w:val="0000708C"/>
    <w:rsid w:val="000207A2"/>
    <w:rsid w:val="00024262"/>
    <w:rsid w:val="0002534E"/>
    <w:rsid w:val="00070442"/>
    <w:rsid w:val="00070B2C"/>
    <w:rsid w:val="0009140A"/>
    <w:rsid w:val="0009502C"/>
    <w:rsid w:val="000A7E85"/>
    <w:rsid w:val="000B1A6A"/>
    <w:rsid w:val="000C6DD8"/>
    <w:rsid w:val="0011170F"/>
    <w:rsid w:val="0011345F"/>
    <w:rsid w:val="001141D4"/>
    <w:rsid w:val="001167B7"/>
    <w:rsid w:val="00130552"/>
    <w:rsid w:val="00133B9C"/>
    <w:rsid w:val="00141B94"/>
    <w:rsid w:val="00142CC5"/>
    <w:rsid w:val="00143F60"/>
    <w:rsid w:val="001445AD"/>
    <w:rsid w:val="001474FE"/>
    <w:rsid w:val="00155D12"/>
    <w:rsid w:val="00174793"/>
    <w:rsid w:val="00175D12"/>
    <w:rsid w:val="0017618B"/>
    <w:rsid w:val="001A6FC2"/>
    <w:rsid w:val="001B2573"/>
    <w:rsid w:val="001B3089"/>
    <w:rsid w:val="001F7706"/>
    <w:rsid w:val="00202001"/>
    <w:rsid w:val="00203D6A"/>
    <w:rsid w:val="00252ECA"/>
    <w:rsid w:val="0025534D"/>
    <w:rsid w:val="00260470"/>
    <w:rsid w:val="00260725"/>
    <w:rsid w:val="00264B4D"/>
    <w:rsid w:val="00270673"/>
    <w:rsid w:val="002960D5"/>
    <w:rsid w:val="002A39DE"/>
    <w:rsid w:val="002B3A36"/>
    <w:rsid w:val="002B7A84"/>
    <w:rsid w:val="002C2E33"/>
    <w:rsid w:val="002C5FAB"/>
    <w:rsid w:val="002C7FF5"/>
    <w:rsid w:val="002F0EC0"/>
    <w:rsid w:val="002F5657"/>
    <w:rsid w:val="00301802"/>
    <w:rsid w:val="00323710"/>
    <w:rsid w:val="003344A2"/>
    <w:rsid w:val="003528C0"/>
    <w:rsid w:val="00365B5E"/>
    <w:rsid w:val="003667AA"/>
    <w:rsid w:val="00370866"/>
    <w:rsid w:val="00370BCA"/>
    <w:rsid w:val="0039634F"/>
    <w:rsid w:val="003B2174"/>
    <w:rsid w:val="003B7A2F"/>
    <w:rsid w:val="003C2247"/>
    <w:rsid w:val="003D3CA7"/>
    <w:rsid w:val="003D4553"/>
    <w:rsid w:val="003E057A"/>
    <w:rsid w:val="003F442B"/>
    <w:rsid w:val="004009A6"/>
    <w:rsid w:val="00405269"/>
    <w:rsid w:val="00415D1F"/>
    <w:rsid w:val="004217C4"/>
    <w:rsid w:val="00436E61"/>
    <w:rsid w:val="0045070F"/>
    <w:rsid w:val="00454F83"/>
    <w:rsid w:val="00463E52"/>
    <w:rsid w:val="0047440B"/>
    <w:rsid w:val="00480672"/>
    <w:rsid w:val="004B0C2F"/>
    <w:rsid w:val="004D1FA6"/>
    <w:rsid w:val="004E7F0E"/>
    <w:rsid w:val="00504C33"/>
    <w:rsid w:val="0050587E"/>
    <w:rsid w:val="00513258"/>
    <w:rsid w:val="00542998"/>
    <w:rsid w:val="00545B3E"/>
    <w:rsid w:val="0056091C"/>
    <w:rsid w:val="005A0FC8"/>
    <w:rsid w:val="005A3ABC"/>
    <w:rsid w:val="005F14FB"/>
    <w:rsid w:val="00603289"/>
    <w:rsid w:val="006059D3"/>
    <w:rsid w:val="00610FE6"/>
    <w:rsid w:val="006122B8"/>
    <w:rsid w:val="00621D98"/>
    <w:rsid w:val="006405E9"/>
    <w:rsid w:val="006676D8"/>
    <w:rsid w:val="00685884"/>
    <w:rsid w:val="006942D0"/>
    <w:rsid w:val="006A1F4D"/>
    <w:rsid w:val="006A6830"/>
    <w:rsid w:val="006C2D57"/>
    <w:rsid w:val="006C4F6E"/>
    <w:rsid w:val="007117EA"/>
    <w:rsid w:val="00717C56"/>
    <w:rsid w:val="007323A2"/>
    <w:rsid w:val="00741B7D"/>
    <w:rsid w:val="00786320"/>
    <w:rsid w:val="007A445A"/>
    <w:rsid w:val="007B2329"/>
    <w:rsid w:val="007F1127"/>
    <w:rsid w:val="007F1B85"/>
    <w:rsid w:val="007F49B0"/>
    <w:rsid w:val="008067A2"/>
    <w:rsid w:val="00806F65"/>
    <w:rsid w:val="00810901"/>
    <w:rsid w:val="00847A80"/>
    <w:rsid w:val="008530EC"/>
    <w:rsid w:val="008631B6"/>
    <w:rsid w:val="00877F50"/>
    <w:rsid w:val="008A0745"/>
    <w:rsid w:val="008A0809"/>
    <w:rsid w:val="008B59D8"/>
    <w:rsid w:val="008C428E"/>
    <w:rsid w:val="008D6017"/>
    <w:rsid w:val="008E0DCF"/>
    <w:rsid w:val="008E22E4"/>
    <w:rsid w:val="008F2F89"/>
    <w:rsid w:val="008F4E85"/>
    <w:rsid w:val="00916384"/>
    <w:rsid w:val="00965FF1"/>
    <w:rsid w:val="00986252"/>
    <w:rsid w:val="009B56CE"/>
    <w:rsid w:val="009B7037"/>
    <w:rsid w:val="009D1B52"/>
    <w:rsid w:val="009E2418"/>
    <w:rsid w:val="00A80DAE"/>
    <w:rsid w:val="00AA09E0"/>
    <w:rsid w:val="00AB693E"/>
    <w:rsid w:val="00AC786B"/>
    <w:rsid w:val="00AD006A"/>
    <w:rsid w:val="00B00247"/>
    <w:rsid w:val="00B31295"/>
    <w:rsid w:val="00B35E65"/>
    <w:rsid w:val="00B66D79"/>
    <w:rsid w:val="00B671D0"/>
    <w:rsid w:val="00BA0925"/>
    <w:rsid w:val="00BA1845"/>
    <w:rsid w:val="00BB4C38"/>
    <w:rsid w:val="00BC332B"/>
    <w:rsid w:val="00BE4CFA"/>
    <w:rsid w:val="00BF4E0C"/>
    <w:rsid w:val="00BF7AB1"/>
    <w:rsid w:val="00C02157"/>
    <w:rsid w:val="00C301A0"/>
    <w:rsid w:val="00C57547"/>
    <w:rsid w:val="00C63FB1"/>
    <w:rsid w:val="00C71BCC"/>
    <w:rsid w:val="00C9083F"/>
    <w:rsid w:val="00C92718"/>
    <w:rsid w:val="00CA327C"/>
    <w:rsid w:val="00CA5753"/>
    <w:rsid w:val="00CD7B8B"/>
    <w:rsid w:val="00CF6165"/>
    <w:rsid w:val="00D045B7"/>
    <w:rsid w:val="00D17891"/>
    <w:rsid w:val="00D20CE4"/>
    <w:rsid w:val="00D402CC"/>
    <w:rsid w:val="00D45264"/>
    <w:rsid w:val="00D5526A"/>
    <w:rsid w:val="00D61EF4"/>
    <w:rsid w:val="00D9324D"/>
    <w:rsid w:val="00E063FE"/>
    <w:rsid w:val="00E26E01"/>
    <w:rsid w:val="00E35991"/>
    <w:rsid w:val="00E40335"/>
    <w:rsid w:val="00E55CD1"/>
    <w:rsid w:val="00E65CF2"/>
    <w:rsid w:val="00EF0A39"/>
    <w:rsid w:val="00F27DB8"/>
    <w:rsid w:val="00F655C2"/>
    <w:rsid w:val="00F722BA"/>
    <w:rsid w:val="00F72BF2"/>
    <w:rsid w:val="00F76268"/>
    <w:rsid w:val="00FB6F5E"/>
    <w:rsid w:val="00FC5D7E"/>
    <w:rsid w:val="00FD141D"/>
    <w:rsid w:val="00FD5220"/>
    <w:rsid w:val="00FE1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link w:val="ListParagraphChar"/>
    <w:uiPriority w:val="34"/>
    <w:qFormat/>
    <w:rsid w:val="00D17891"/>
    <w:pPr>
      <w:ind w:left="720"/>
      <w:contextualSpacing/>
    </w:pPr>
  </w:style>
  <w:style w:type="paragraph" w:styleId="Header">
    <w:name w:val="header"/>
    <w:basedOn w:val="Normal"/>
    <w:link w:val="HeaderChar"/>
    <w:rsid w:val="004D1FA6"/>
    <w:pPr>
      <w:tabs>
        <w:tab w:val="center" w:pos="4680"/>
        <w:tab w:val="right" w:pos="9360"/>
      </w:tabs>
    </w:pPr>
  </w:style>
  <w:style w:type="character" w:customStyle="1" w:styleId="HeaderChar">
    <w:name w:val="Header Char"/>
    <w:basedOn w:val="DefaultParagraphFont"/>
    <w:link w:val="Header"/>
    <w:rsid w:val="004D1FA6"/>
    <w:rPr>
      <w:rFonts w:ascii="Courier" w:hAnsi="Courier"/>
      <w:snapToGrid w:val="0"/>
      <w:sz w:val="24"/>
    </w:rPr>
  </w:style>
  <w:style w:type="paragraph" w:styleId="Footer">
    <w:name w:val="footer"/>
    <w:basedOn w:val="Normal"/>
    <w:link w:val="FooterChar"/>
    <w:rsid w:val="004D1FA6"/>
    <w:pPr>
      <w:tabs>
        <w:tab w:val="center" w:pos="4680"/>
        <w:tab w:val="right" w:pos="9360"/>
      </w:tabs>
    </w:pPr>
  </w:style>
  <w:style w:type="character" w:customStyle="1" w:styleId="FooterChar">
    <w:name w:val="Footer Char"/>
    <w:basedOn w:val="DefaultParagraphFont"/>
    <w:link w:val="Footer"/>
    <w:rsid w:val="004D1FA6"/>
    <w:rPr>
      <w:rFonts w:ascii="Courier" w:hAnsi="Courier"/>
      <w:snapToGrid w:val="0"/>
      <w:sz w:val="24"/>
    </w:rPr>
  </w:style>
  <w:style w:type="character" w:customStyle="1" w:styleId="ListParagraphChar">
    <w:name w:val="List Paragraph Char"/>
    <w:basedOn w:val="DefaultParagraphFont"/>
    <w:link w:val="ListParagraph"/>
    <w:uiPriority w:val="34"/>
    <w:rsid w:val="00F722BA"/>
    <w:rPr>
      <w:rFonts w:ascii="Courier" w:hAnsi="Courier"/>
      <w:snapToGrid w:val="0"/>
      <w:sz w:val="24"/>
    </w:rPr>
  </w:style>
  <w:style w:type="character" w:styleId="Strong">
    <w:name w:val="Strong"/>
    <w:basedOn w:val="DefaultParagraphFont"/>
    <w:uiPriority w:val="22"/>
    <w:qFormat/>
    <w:rsid w:val="00C02157"/>
    <w:rPr>
      <w:b/>
      <w:bCs/>
    </w:rPr>
  </w:style>
  <w:style w:type="paragraph" w:customStyle="1" w:styleId="Default">
    <w:name w:val="Default"/>
    <w:rsid w:val="007F1127"/>
    <w:pPr>
      <w:autoSpaceDE w:val="0"/>
      <w:autoSpaceDN w:val="0"/>
      <w:adjustRightInd w:val="0"/>
    </w:pPr>
    <w:rPr>
      <w:rFonts w:ascii="HelveticaNeueLT W1G 55 Roman" w:hAnsi="HelveticaNeueLT W1G 55 Roman" w:cs="HelveticaNeueLT W1G 55 Roman"/>
      <w:color w:val="000000"/>
      <w:sz w:val="24"/>
      <w:szCs w:val="24"/>
    </w:rPr>
  </w:style>
  <w:style w:type="paragraph" w:customStyle="1" w:styleId="Pa0">
    <w:name w:val="Pa0"/>
    <w:basedOn w:val="Default"/>
    <w:next w:val="Default"/>
    <w:uiPriority w:val="99"/>
    <w:rsid w:val="007F1127"/>
    <w:pPr>
      <w:spacing w:line="241" w:lineRule="atLeast"/>
    </w:pPr>
    <w:rPr>
      <w:rFonts w:cs="Times New Roman"/>
      <w:color w:val="auto"/>
    </w:rPr>
  </w:style>
  <w:style w:type="character" w:customStyle="1" w:styleId="A0">
    <w:name w:val="A0"/>
    <w:uiPriority w:val="99"/>
    <w:rsid w:val="007F1127"/>
    <w:rPr>
      <w:rFonts w:cs="HelveticaNeueLT W1G 55 Roman"/>
      <w:color w:val="000000"/>
      <w:sz w:val="14"/>
      <w:szCs w:val="14"/>
    </w:rPr>
  </w:style>
  <w:style w:type="paragraph" w:customStyle="1" w:styleId="Pa3">
    <w:name w:val="Pa3"/>
    <w:basedOn w:val="Default"/>
    <w:next w:val="Default"/>
    <w:uiPriority w:val="99"/>
    <w:rsid w:val="00365B5E"/>
    <w:pPr>
      <w:spacing w:line="361" w:lineRule="atLeast"/>
    </w:pPr>
    <w:rPr>
      <w:rFonts w:ascii="HelveticaNeueLT Std Lt" w:hAnsi="HelveticaNeueLT Std Lt" w:cs="Times New Roman"/>
      <w:color w:val="auto"/>
    </w:rPr>
  </w:style>
  <w:style w:type="character" w:customStyle="1" w:styleId="A4">
    <w:name w:val="A4"/>
    <w:uiPriority w:val="99"/>
    <w:rsid w:val="00365B5E"/>
    <w:rPr>
      <w:rFonts w:cs="HelveticaNeueLT Std Lt"/>
      <w:color w:val="000000"/>
      <w:sz w:val="30"/>
      <w:szCs w:val="30"/>
    </w:rPr>
  </w:style>
  <w:style w:type="character" w:styleId="UnresolvedMention">
    <w:name w:val="Unresolved Mention"/>
    <w:basedOn w:val="DefaultParagraphFont"/>
    <w:uiPriority w:val="99"/>
    <w:semiHidden/>
    <w:unhideWhenUsed/>
    <w:rsid w:val="00717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porate.thermofisher.com" TargetMode="External"/><Relationship Id="rId13" Type="http://schemas.openxmlformats.org/officeDocument/2006/relationships/hyperlink" Target="mailto:erin.clark@hrglab.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upins_karen_k@lilly.com" TargetMode="External"/><Relationship Id="rId17" Type="http://schemas.openxmlformats.org/officeDocument/2006/relationships/hyperlink" Target="https://corporate.thermofisher.com/en/security.html" TargetMode="External"/><Relationship Id="rId2" Type="http://schemas.openxmlformats.org/officeDocument/2006/relationships/numbering" Target="numbering.xml"/><Relationship Id="rId16" Type="http://schemas.openxmlformats.org/officeDocument/2006/relationships/hyperlink" Target="http://www.fishersci.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lly.com/" TargetMode="External"/><Relationship Id="rId5" Type="http://schemas.openxmlformats.org/officeDocument/2006/relationships/webSettings" Target="webSettings.xml"/><Relationship Id="rId15" Type="http://schemas.openxmlformats.org/officeDocument/2006/relationships/hyperlink" Target="mailto:Jim.Harris@thermofisher.com" TargetMode="External"/><Relationship Id="rId10" Type="http://schemas.openxmlformats.org/officeDocument/2006/relationships/hyperlink" Target="mailto:idoareferences@idoa.in.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rporate.thermofisher.com" TargetMode="External"/><Relationship Id="rId14" Type="http://schemas.openxmlformats.org/officeDocument/2006/relationships/hyperlink" Target="https://bsd.sos.in.gov/publicbusiness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09A31-5243-46B4-8072-DDE1327D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2773</Words>
  <Characters>17439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2020-11-02T15:54:00Z</dcterms:created>
  <dcterms:modified xsi:type="dcterms:W3CDTF">2020-11-03T15:04:00Z</dcterms:modified>
</cp:coreProperties>
</file>